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E0D" w:rsidRDefault="00F1527E">
      <w:pPr>
        <w:pStyle w:val="Title"/>
        <w:pBdr>
          <w:bottom w:val="single" w:sz="4" w:space="1" w:color="auto"/>
        </w:pBdr>
        <w:rPr>
          <w:bCs w:val="0"/>
        </w:rPr>
      </w:pPr>
      <w:r>
        <w:rPr>
          <w:bCs w:val="0"/>
        </w:rPr>
        <w:t>Centralized Intake</w:t>
      </w:r>
    </w:p>
    <w:p w:rsidR="00F1527E" w:rsidRPr="00F1527E" w:rsidRDefault="006D7E0D" w:rsidP="00F1527E">
      <w:pPr>
        <w:pStyle w:val="NormalWeb"/>
        <w:spacing w:before="0" w:beforeAutospacing="0" w:after="0" w:afterAutospacing="0"/>
      </w:pPr>
      <w:r>
        <w:rPr>
          <w:b/>
          <w:bCs/>
          <w:u w:val="single"/>
        </w:rPr>
        <w:t>Purpose:</w:t>
      </w:r>
      <w:r w:rsidR="00F1527E">
        <w:t xml:space="preserve">       </w:t>
      </w:r>
      <w:r w:rsidR="00F1527E" w:rsidRPr="00F1527E">
        <w:rPr>
          <w:color w:val="000000"/>
          <w:bdr w:val="none" w:sz="0" w:space="0" w:color="auto" w:frame="1"/>
        </w:rPr>
        <w:t>The purpose of the Centralized Intake process is to:</w:t>
      </w:r>
    </w:p>
    <w:p w:rsidR="00F1527E" w:rsidRPr="00F1527E" w:rsidRDefault="00F1527E" w:rsidP="00F1527E">
      <w:pPr>
        <w:numPr>
          <w:ilvl w:val="0"/>
          <w:numId w:val="18"/>
        </w:numPr>
        <w:rPr>
          <w:color w:val="000000"/>
        </w:rPr>
      </w:pPr>
      <w:r w:rsidRPr="00F1527E">
        <w:rPr>
          <w:rFonts w:ascii="Tahoma" w:hAnsi="Tahoma" w:cs="Tahoma"/>
          <w:color w:val="000000"/>
        </w:rPr>
        <w:t>﻿﻿</w:t>
      </w:r>
      <w:r w:rsidRPr="00F1527E">
        <w:rPr>
          <w:color w:val="000000"/>
        </w:rPr>
        <w:t>Assess the child and family's eligibility for services and determine immediate and long-term service needs</w:t>
      </w:r>
    </w:p>
    <w:p w:rsidR="00F1527E" w:rsidRDefault="00F1527E" w:rsidP="00F1527E">
      <w:pPr>
        <w:numPr>
          <w:ilvl w:val="0"/>
          <w:numId w:val="18"/>
        </w:numPr>
        <w:rPr>
          <w:color w:val="000000"/>
        </w:rPr>
      </w:pPr>
      <w:r w:rsidRPr="00F1527E">
        <w:rPr>
          <w:rFonts w:ascii="Tahoma" w:hAnsi="Tahoma" w:cs="Tahoma"/>
          <w:color w:val="000000"/>
        </w:rPr>
        <w:t>﻿﻿</w:t>
      </w:r>
      <w:r w:rsidRPr="00F1527E">
        <w:rPr>
          <w:color w:val="000000"/>
        </w:rPr>
        <w:t>Provide crisis counseling as necessary to stabilize urgent situations</w:t>
      </w:r>
    </w:p>
    <w:p w:rsidR="006D7E0D" w:rsidRPr="00F1527E" w:rsidRDefault="00F1527E" w:rsidP="00F1527E">
      <w:pPr>
        <w:numPr>
          <w:ilvl w:val="0"/>
          <w:numId w:val="18"/>
        </w:numPr>
        <w:rPr>
          <w:color w:val="000000"/>
        </w:rPr>
      </w:pPr>
      <w:r w:rsidRPr="00F1527E">
        <w:rPr>
          <w:color w:val="000000"/>
        </w:rPr>
        <w:t>Offer timely connections and support to families for ongoing services</w:t>
      </w:r>
    </w:p>
    <w:p w:rsidR="006D7E0D" w:rsidRDefault="006D7E0D">
      <w:pPr>
        <w:tabs>
          <w:tab w:val="left" w:pos="-1440"/>
        </w:tabs>
        <w:spacing w:before="100" w:beforeAutospacing="1"/>
        <w:ind w:left="1440" w:hanging="1440"/>
        <w:jc w:val="both"/>
        <w:rPr>
          <w:bCs/>
        </w:rPr>
      </w:pPr>
      <w:r>
        <w:rPr>
          <w:b/>
          <w:bCs/>
          <w:u w:val="single"/>
        </w:rPr>
        <w:t>Policy:</w:t>
      </w:r>
      <w:r>
        <w:tab/>
      </w:r>
      <w:r w:rsidR="00F1527E" w:rsidRPr="00F1527E">
        <w:rPr>
          <w:color w:val="000000"/>
          <w:bdr w:val="none" w:sz="0" w:space="0" w:color="auto" w:frame="1"/>
        </w:rPr>
        <w:t>Centralized Intake is available 24 hours a day, 7 days a week, and accessible in every judicial circuit through full-service providers. This process includes eligibility screening, crisis counseling, and referrals to appropriate services, including community-based counseling. The goal is to connect children and families with the least restrictive, most responsive, and individualized services to meet their specific needs.</w:t>
      </w:r>
      <w:r w:rsidR="002C5762">
        <w:rPr>
          <w:szCs w:val="21"/>
        </w:rPr>
        <w:t xml:space="preserve"> </w:t>
      </w:r>
    </w:p>
    <w:p w:rsidR="006D7E0D" w:rsidRDefault="006D7E0D">
      <w:pPr>
        <w:spacing w:before="100" w:beforeAutospacing="1"/>
        <w:ind w:left="1440" w:hanging="1440"/>
        <w:jc w:val="both"/>
        <w:rPr>
          <w:b/>
          <w:bCs/>
          <w:u w:val="single"/>
        </w:rPr>
      </w:pPr>
      <w:r>
        <w:rPr>
          <w:b/>
          <w:bCs/>
          <w:u w:val="single"/>
        </w:rPr>
        <w:t>Procedure and/or Process:</w:t>
      </w:r>
    </w:p>
    <w:p w:rsidR="00F1527E" w:rsidRPr="00F1527E" w:rsidRDefault="00F1527E" w:rsidP="00F1527E">
      <w:pPr>
        <w:pStyle w:val="NormalWeb"/>
        <w:spacing w:before="0" w:beforeAutospacing="0" w:after="0" w:afterAutospacing="0"/>
      </w:pPr>
    </w:p>
    <w:p w:rsidR="00F1527E" w:rsidRPr="00F1527E" w:rsidRDefault="00F1527E" w:rsidP="00F1527E">
      <w:pPr>
        <w:numPr>
          <w:ilvl w:val="0"/>
          <w:numId w:val="19"/>
        </w:numPr>
        <w:rPr>
          <w:color w:val="000000"/>
        </w:rPr>
      </w:pPr>
      <w:r w:rsidRPr="00F1527E">
        <w:rPr>
          <w:rFonts w:ascii="Tahoma" w:hAnsi="Tahoma" w:cs="Tahoma"/>
          <w:color w:val="000000"/>
        </w:rPr>
        <w:t>﻿﻿</w:t>
      </w:r>
      <w:r w:rsidRPr="00F1527E">
        <w:rPr>
          <w:color w:val="000000"/>
        </w:rPr>
        <w:t>A trained staff member will complete a Florida Network screening form with each child and family to determine eligibility, identify presenting issues, and document referrals to other programs or services.</w:t>
      </w:r>
    </w:p>
    <w:p w:rsidR="00F1527E" w:rsidRPr="00F1527E" w:rsidRDefault="00F1527E" w:rsidP="00F1527E">
      <w:pPr>
        <w:numPr>
          <w:ilvl w:val="0"/>
          <w:numId w:val="19"/>
        </w:numPr>
        <w:rPr>
          <w:color w:val="000000"/>
        </w:rPr>
      </w:pPr>
      <w:r w:rsidRPr="00F1527E">
        <w:rPr>
          <w:rFonts w:ascii="Tahoma" w:hAnsi="Tahoma" w:cs="Tahoma"/>
          <w:color w:val="000000"/>
        </w:rPr>
        <w:t>﻿﻿</w:t>
      </w:r>
      <w:r w:rsidRPr="00F1527E">
        <w:rPr>
          <w:color w:val="000000"/>
        </w:rPr>
        <w:t>Services may be initiated through referrals made by:</w:t>
      </w:r>
    </w:p>
    <w:p w:rsidR="00F1527E" w:rsidRPr="00F1527E" w:rsidRDefault="00F1527E" w:rsidP="00F1527E">
      <w:pPr>
        <w:pStyle w:val="ListParagraph"/>
        <w:numPr>
          <w:ilvl w:val="0"/>
          <w:numId w:val="22"/>
        </w:numPr>
        <w:rPr>
          <w:color w:val="000000"/>
        </w:rPr>
      </w:pPr>
      <w:r w:rsidRPr="00F1527E">
        <w:rPr>
          <w:color w:val="000000"/>
        </w:rPr>
        <w:t>Parents, guardians, or legal custodians</w:t>
      </w:r>
    </w:p>
    <w:p w:rsidR="00F1527E" w:rsidRPr="00F1527E" w:rsidRDefault="00F1527E" w:rsidP="00F1527E">
      <w:pPr>
        <w:pStyle w:val="ListParagraph"/>
        <w:numPr>
          <w:ilvl w:val="0"/>
          <w:numId w:val="22"/>
        </w:numPr>
        <w:rPr>
          <w:color w:val="000000"/>
        </w:rPr>
      </w:pPr>
      <w:r w:rsidRPr="00F1527E">
        <w:rPr>
          <w:color w:val="000000"/>
        </w:rPr>
        <w:t>School officials</w:t>
      </w:r>
    </w:p>
    <w:p w:rsidR="00F1527E" w:rsidRPr="00F1527E" w:rsidRDefault="00F1527E" w:rsidP="00F1527E">
      <w:pPr>
        <w:pStyle w:val="ListParagraph"/>
        <w:numPr>
          <w:ilvl w:val="0"/>
          <w:numId w:val="22"/>
        </w:numPr>
        <w:rPr>
          <w:color w:val="000000"/>
        </w:rPr>
      </w:pPr>
      <w:r w:rsidRPr="00F1527E">
        <w:rPr>
          <w:color w:val="000000"/>
        </w:rPr>
        <w:t>Law enforcement officers</w:t>
      </w:r>
    </w:p>
    <w:p w:rsidR="00F1527E" w:rsidRPr="00F1527E" w:rsidRDefault="00F1527E" w:rsidP="00F1527E">
      <w:pPr>
        <w:pStyle w:val="ListParagraph"/>
        <w:numPr>
          <w:ilvl w:val="0"/>
          <w:numId w:val="22"/>
        </w:numPr>
        <w:rPr>
          <w:color w:val="000000"/>
        </w:rPr>
      </w:pPr>
      <w:r w:rsidRPr="00F1527E">
        <w:rPr>
          <w:color w:val="000000"/>
        </w:rPr>
        <w:t>Other authorized referral sources</w:t>
      </w:r>
    </w:p>
    <w:p w:rsidR="00F1527E" w:rsidRDefault="00F1527E" w:rsidP="00F1527E">
      <w:pPr>
        <w:numPr>
          <w:ilvl w:val="0"/>
          <w:numId w:val="19"/>
        </w:numPr>
        <w:rPr>
          <w:color w:val="000000"/>
        </w:rPr>
      </w:pPr>
      <w:r w:rsidRPr="00F1527E">
        <w:rPr>
          <w:rFonts w:ascii="Tahoma" w:hAnsi="Tahoma" w:cs="Tahoma"/>
          <w:color w:val="000000"/>
        </w:rPr>
        <w:t>﻿﻿</w:t>
      </w:r>
      <w:r w:rsidRPr="00F1527E">
        <w:rPr>
          <w:color w:val="000000"/>
        </w:rPr>
        <w:t>Referrals for habitual truancy must comply with Florida Statute 1003.26, requiring that schools document all necessary interventions before mak</w:t>
      </w:r>
      <w:r>
        <w:rPr>
          <w:color w:val="000000"/>
        </w:rPr>
        <w:t>ing a referral</w:t>
      </w:r>
    </w:p>
    <w:p w:rsidR="00F1527E" w:rsidRDefault="00F1527E" w:rsidP="00F1527E">
      <w:pPr>
        <w:numPr>
          <w:ilvl w:val="0"/>
          <w:numId w:val="19"/>
        </w:numPr>
        <w:rPr>
          <w:color w:val="000000"/>
        </w:rPr>
      </w:pPr>
      <w:r w:rsidRPr="00F1527E">
        <w:rPr>
          <w:color w:val="000000"/>
        </w:rPr>
        <w:t>Referrals for ungovernable or runaway behaviors must be voluntarily accepted by the family or individual family members requesting services.</w:t>
      </w:r>
    </w:p>
    <w:p w:rsidR="00F1527E" w:rsidRPr="00F1527E" w:rsidRDefault="00F1527E" w:rsidP="00F1527E">
      <w:pPr>
        <w:ind w:left="360"/>
        <w:rPr>
          <w:color w:val="000000"/>
        </w:rPr>
      </w:pPr>
    </w:p>
    <w:p w:rsidR="00F1527E" w:rsidRDefault="00F1527E" w:rsidP="00F1527E">
      <w:pPr>
        <w:pStyle w:val="NormalWeb"/>
        <w:spacing w:before="0" w:beforeAutospacing="0" w:after="0" w:afterAutospacing="0"/>
        <w:rPr>
          <w:b/>
          <w:color w:val="000000"/>
          <w:bdr w:val="none" w:sz="0" w:space="0" w:color="auto" w:frame="1"/>
        </w:rPr>
      </w:pPr>
      <w:r w:rsidRPr="00F1527E">
        <w:rPr>
          <w:b/>
          <w:color w:val="000000"/>
          <w:bdr w:val="none" w:sz="0" w:space="0" w:color="auto" w:frame="1"/>
        </w:rPr>
        <w:t>Centralized Intake</w:t>
      </w:r>
    </w:p>
    <w:p w:rsidR="00F1527E" w:rsidRPr="00F1527E" w:rsidRDefault="00F1527E" w:rsidP="00F1527E">
      <w:pPr>
        <w:pStyle w:val="NormalWeb"/>
        <w:spacing w:before="0" w:beforeAutospacing="0" w:after="0" w:afterAutospacing="0"/>
        <w:rPr>
          <w:b/>
        </w:rPr>
      </w:pPr>
    </w:p>
    <w:p w:rsidR="00F1527E" w:rsidRPr="00F1527E" w:rsidRDefault="00F1527E" w:rsidP="00F1527E">
      <w:pPr>
        <w:pStyle w:val="NormalWeb"/>
        <w:spacing w:before="0" w:beforeAutospacing="0" w:after="0" w:afterAutospacing="0"/>
      </w:pPr>
      <w:r w:rsidRPr="00F1527E">
        <w:rPr>
          <w:color w:val="000000"/>
          <w:bdr w:val="none" w:sz="0" w:space="0" w:color="auto" w:frame="1"/>
        </w:rPr>
        <w:t>1.</w:t>
      </w:r>
      <w:r>
        <w:rPr>
          <w:color w:val="000000"/>
          <w:bdr w:val="none" w:sz="0" w:space="0" w:color="auto" w:frame="1"/>
        </w:rPr>
        <w:t xml:space="preserve"> </w:t>
      </w:r>
      <w:r w:rsidRPr="00F1527E">
        <w:rPr>
          <w:color w:val="000000"/>
          <w:bdr w:val="none" w:sz="0" w:space="0" w:color="auto" w:frame="1"/>
        </w:rPr>
        <w:t xml:space="preserve"> </w:t>
      </w:r>
      <w:r w:rsidRPr="00F1527E">
        <w:rPr>
          <w:b/>
          <w:color w:val="000000"/>
          <w:bdr w:val="none" w:sz="0" w:space="0" w:color="auto" w:frame="1"/>
        </w:rPr>
        <w:t>Eligibility Screening</w:t>
      </w:r>
    </w:p>
    <w:p w:rsidR="00F1527E" w:rsidRPr="00F1527E" w:rsidRDefault="00F1527E" w:rsidP="00F1527E">
      <w:pPr>
        <w:pStyle w:val="NormalWeb"/>
        <w:spacing w:before="0" w:beforeAutospacing="0" w:after="0" w:afterAutospacing="0"/>
        <w:ind w:left="360"/>
      </w:pPr>
      <w:r w:rsidRPr="00F1527E">
        <w:rPr>
          <w:color w:val="000000"/>
          <w:bdr w:val="none" w:sz="0" w:space="0" w:color="auto" w:frame="1"/>
        </w:rPr>
        <w:t xml:space="preserve">24/7 access to </w:t>
      </w:r>
      <w:proofErr w:type="gramStart"/>
      <w:r w:rsidRPr="00F1527E">
        <w:rPr>
          <w:color w:val="000000"/>
          <w:bdr w:val="none" w:sz="0" w:space="0" w:color="auto" w:frame="1"/>
        </w:rPr>
        <w:t>trained</w:t>
      </w:r>
      <w:proofErr w:type="gramEnd"/>
      <w:r w:rsidRPr="00F1527E">
        <w:rPr>
          <w:color w:val="000000"/>
          <w:bdr w:val="none" w:sz="0" w:space="0" w:color="auto" w:frame="1"/>
        </w:rPr>
        <w:t xml:space="preserve"> staff who assess eligibility for CINS/FINS services, initiate assessments, and provide immediate support as needed.</w:t>
      </w:r>
    </w:p>
    <w:p w:rsidR="00F1527E" w:rsidRPr="00F1527E" w:rsidRDefault="00F1527E" w:rsidP="00F1527E">
      <w:pPr>
        <w:textAlignment w:val="baseline"/>
        <w:rPr>
          <w:color w:val="000000"/>
        </w:rPr>
      </w:pPr>
    </w:p>
    <w:p w:rsidR="00F1527E" w:rsidRDefault="00AD7516" w:rsidP="00AD7516">
      <w:pPr>
        <w:ind w:left="360" w:hanging="270"/>
        <w:rPr>
          <w:color w:val="000000"/>
        </w:rPr>
      </w:pPr>
      <w:r w:rsidRPr="00AD7516">
        <w:rPr>
          <w:color w:val="000000"/>
        </w:rPr>
        <w:t>2.</w:t>
      </w:r>
      <w:r>
        <w:rPr>
          <w:color w:val="000000"/>
        </w:rPr>
        <w:t xml:space="preserve">  </w:t>
      </w:r>
      <w:r w:rsidR="00F1527E" w:rsidRPr="00AD7516">
        <w:rPr>
          <w:b/>
          <w:color w:val="000000"/>
        </w:rPr>
        <w:t>Crisis Counseling</w:t>
      </w:r>
      <w:r w:rsidR="00F1527E" w:rsidRPr="00F1527E">
        <w:rPr>
          <w:color w:val="000000"/>
        </w:rPr>
        <w:br/>
        <w:t>Short-term intervention focused on stabilizing the current crisis and addressing urgent safety or emotional needs.</w:t>
      </w:r>
    </w:p>
    <w:p w:rsidR="00AD7516" w:rsidRPr="00F1527E" w:rsidRDefault="00AD7516" w:rsidP="00AD7516">
      <w:pPr>
        <w:ind w:left="360" w:hanging="270"/>
        <w:rPr>
          <w:color w:val="000000"/>
        </w:rPr>
      </w:pPr>
    </w:p>
    <w:p w:rsidR="00F1527E" w:rsidRPr="00F1527E" w:rsidRDefault="00AD7516" w:rsidP="00AD7516">
      <w:pPr>
        <w:ind w:left="360" w:hanging="270"/>
        <w:rPr>
          <w:color w:val="000000"/>
        </w:rPr>
      </w:pPr>
      <w:r w:rsidRPr="00AD7516">
        <w:rPr>
          <w:color w:val="000000"/>
        </w:rPr>
        <w:t>3.</w:t>
      </w:r>
      <w:r>
        <w:rPr>
          <w:color w:val="000000"/>
        </w:rPr>
        <w:t xml:space="preserve">  </w:t>
      </w:r>
      <w:r w:rsidR="00F1527E" w:rsidRPr="00AD7516">
        <w:rPr>
          <w:b/>
          <w:color w:val="000000"/>
        </w:rPr>
        <w:t>Information and Referral</w:t>
      </w:r>
      <w:r w:rsidR="00F1527E" w:rsidRPr="00F1527E">
        <w:rPr>
          <w:color w:val="000000"/>
        </w:rPr>
        <w:br/>
        <w:t>Around-the-clock support from staff who guide families to appropriate internal and external services based on the needs identified during screening.</w:t>
      </w:r>
    </w:p>
    <w:p w:rsidR="00F1527E" w:rsidRDefault="00F1527E" w:rsidP="00AD7516">
      <w:pPr>
        <w:pStyle w:val="Header"/>
        <w:tabs>
          <w:tab w:val="clear" w:pos="4320"/>
          <w:tab w:val="clear" w:pos="8640"/>
        </w:tabs>
        <w:ind w:left="-270"/>
      </w:pPr>
      <w:bookmarkStart w:id="0" w:name="_GoBack"/>
      <w:bookmarkEnd w:id="0"/>
    </w:p>
    <w:sectPr w:rsidR="00F1527E" w:rsidSect="00A47F56">
      <w:footerReference w:type="default" r:id="rId8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932" w:rsidRDefault="00C04932">
      <w:r>
        <w:separator/>
      </w:r>
    </w:p>
  </w:endnote>
  <w:endnote w:type="continuationSeparator" w:id="0">
    <w:p w:rsidR="00C04932" w:rsidRDefault="00C0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PS"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0D" w:rsidRDefault="003D1F9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8"/>
      </w:rPr>
    </w:pPr>
    <w:r>
      <w:rPr>
        <w:sz w:val="18"/>
      </w:rPr>
      <w:t xml:space="preserve">Rev: </w:t>
    </w:r>
    <w:r w:rsidR="00F1527E">
      <w:rPr>
        <w:sz w:val="18"/>
      </w:rPr>
      <w:t xml:space="preserve">12/25                                                                                    </w:t>
    </w:r>
    <w:r w:rsidR="004A4198">
      <w:rPr>
        <w:sz w:val="18"/>
      </w:rPr>
      <w:t xml:space="preserve">    </w:t>
    </w:r>
    <w:r w:rsidR="006D7E0D" w:rsidRPr="00A47F56">
      <w:rPr>
        <w:b/>
        <w:sz w:val="18"/>
      </w:rPr>
      <w:t xml:space="preserve">Page </w:t>
    </w:r>
    <w:r w:rsidR="006D7E0D" w:rsidRPr="00A47F56">
      <w:rPr>
        <w:rStyle w:val="PageNumber"/>
        <w:b/>
        <w:sz w:val="18"/>
      </w:rPr>
      <w:fldChar w:fldCharType="begin"/>
    </w:r>
    <w:r w:rsidR="006D7E0D" w:rsidRPr="00A47F56">
      <w:rPr>
        <w:rStyle w:val="PageNumber"/>
        <w:b/>
        <w:sz w:val="18"/>
      </w:rPr>
      <w:instrText xml:space="preserve"> PAGE </w:instrText>
    </w:r>
    <w:r w:rsidR="006D7E0D" w:rsidRPr="00A47F56"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1</w:t>
    </w:r>
    <w:r w:rsidR="006D7E0D" w:rsidRPr="00A47F56">
      <w:rPr>
        <w:rStyle w:val="PageNumber"/>
        <w:b/>
        <w:sz w:val="18"/>
      </w:rPr>
      <w:fldChar w:fldCharType="end"/>
    </w:r>
    <w:r w:rsidR="006D7E0D" w:rsidRPr="00A47F56">
      <w:rPr>
        <w:rStyle w:val="PageNumber"/>
        <w:b/>
        <w:sz w:val="18"/>
      </w:rPr>
      <w:t xml:space="preserve"> of </w:t>
    </w:r>
    <w:r w:rsidR="006D7E0D" w:rsidRPr="00A47F56">
      <w:rPr>
        <w:rStyle w:val="PageNumber"/>
        <w:b/>
        <w:sz w:val="18"/>
      </w:rPr>
      <w:fldChar w:fldCharType="begin"/>
    </w:r>
    <w:r w:rsidR="006D7E0D" w:rsidRPr="00A47F56">
      <w:rPr>
        <w:rStyle w:val="PageNumber"/>
        <w:b/>
        <w:sz w:val="18"/>
      </w:rPr>
      <w:instrText xml:space="preserve"> NUMPAGES </w:instrText>
    </w:r>
    <w:r w:rsidR="006D7E0D" w:rsidRPr="00A47F56"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1</w:t>
    </w:r>
    <w:r w:rsidR="006D7E0D" w:rsidRPr="00A47F56">
      <w:rPr>
        <w:rStyle w:val="PageNumber"/>
        <w:b/>
        <w:sz w:val="18"/>
      </w:rPr>
      <w:fldChar w:fldCharType="end"/>
    </w:r>
    <w:r w:rsidR="00CA0476">
      <w:rPr>
        <w:rStyle w:val="PageNumber"/>
        <w:sz w:val="18"/>
      </w:rPr>
      <w:t xml:space="preserve"> </w:t>
    </w:r>
    <w:r w:rsidR="004A4198">
      <w:rPr>
        <w:rStyle w:val="PageNumber"/>
        <w:sz w:val="18"/>
      </w:rPr>
      <w:t xml:space="preserve">      </w:t>
    </w:r>
    <w:r w:rsidR="00F1527E">
      <w:rPr>
        <w:rStyle w:val="PageNumber"/>
        <w:sz w:val="18"/>
      </w:rPr>
      <w:t xml:space="preserve">            </w:t>
    </w:r>
    <w:r w:rsidR="00CA0476">
      <w:rPr>
        <w:rStyle w:val="PageNumber"/>
      </w:rPr>
      <w:t xml:space="preserve">          </w:t>
    </w:r>
    <w:r w:rsidR="00F1527E">
      <w:rPr>
        <w:rStyle w:val="PageNumber"/>
      </w:rPr>
      <w:t xml:space="preserve">                   </w:t>
    </w:r>
    <w:r>
      <w:rPr>
        <w:rStyle w:val="PageNumber"/>
      </w:rPr>
      <w:t xml:space="preserve">    </w:t>
    </w:r>
    <w:r w:rsidR="00CA0476">
      <w:rPr>
        <w:rStyle w:val="PageNumber"/>
      </w:rPr>
      <w:t xml:space="preserve"> </w:t>
    </w:r>
    <w:r>
      <w:rPr>
        <w:rStyle w:val="PageNumber"/>
        <w:sz w:val="28"/>
      </w:rPr>
      <w:t>P-1310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932" w:rsidRDefault="00C04932">
      <w:r>
        <w:separator/>
      </w:r>
    </w:p>
  </w:footnote>
  <w:footnote w:type="continuationSeparator" w:id="0">
    <w:p w:rsidR="00C04932" w:rsidRDefault="00C04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B42D5CA"/>
    <w:lvl w:ilvl="0">
      <w:numFmt w:val="decimal"/>
      <w:lvlText w:val="*"/>
      <w:lvlJc w:val="left"/>
    </w:lvl>
  </w:abstractNum>
  <w:abstractNum w:abstractNumId="1" w15:restartNumberingAfterBreak="0">
    <w:nsid w:val="09D31E58"/>
    <w:multiLevelType w:val="hybridMultilevel"/>
    <w:tmpl w:val="E0942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10357"/>
    <w:multiLevelType w:val="singleLevel"/>
    <w:tmpl w:val="AA725C4C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3" w15:restartNumberingAfterBreak="0">
    <w:nsid w:val="11F76414"/>
    <w:multiLevelType w:val="hybridMultilevel"/>
    <w:tmpl w:val="5B2E85E2"/>
    <w:lvl w:ilvl="0" w:tplc="BFF6C506">
      <w:start w:val="65535"/>
      <w:numFmt w:val="bullet"/>
      <w:lvlText w:val="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2A2637EB"/>
    <w:multiLevelType w:val="hybridMultilevel"/>
    <w:tmpl w:val="D1286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E55C5"/>
    <w:multiLevelType w:val="hybridMultilevel"/>
    <w:tmpl w:val="4524E000"/>
    <w:lvl w:ilvl="0" w:tplc="C1F461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D7D1EC3"/>
    <w:multiLevelType w:val="hybridMultilevel"/>
    <w:tmpl w:val="BC549B70"/>
    <w:lvl w:ilvl="0" w:tplc="BFF6C506">
      <w:start w:val="65535"/>
      <w:numFmt w:val="bullet"/>
      <w:lvlText w:val="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F9E5B3F"/>
    <w:multiLevelType w:val="hybridMultilevel"/>
    <w:tmpl w:val="859647DC"/>
    <w:lvl w:ilvl="0" w:tplc="D41A77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3C43A1"/>
    <w:multiLevelType w:val="hybridMultilevel"/>
    <w:tmpl w:val="5A46AF9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4D25423A"/>
    <w:multiLevelType w:val="hybridMultilevel"/>
    <w:tmpl w:val="48F42D7C"/>
    <w:lvl w:ilvl="0" w:tplc="7C007EF2">
      <w:start w:val="65535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PS" w:hAnsi="SymbolP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B6868BB"/>
    <w:multiLevelType w:val="multilevel"/>
    <w:tmpl w:val="1EE2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D490735"/>
    <w:multiLevelType w:val="hybridMultilevel"/>
    <w:tmpl w:val="48F42D7C"/>
    <w:lvl w:ilvl="0" w:tplc="72967724">
      <w:start w:val="65535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D8A536F"/>
    <w:multiLevelType w:val="hybridMultilevel"/>
    <w:tmpl w:val="3EA22DEE"/>
    <w:lvl w:ilvl="0" w:tplc="BFF6C506">
      <w:start w:val="65535"/>
      <w:numFmt w:val="bullet"/>
      <w:lvlText w:val="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3" w15:restartNumberingAfterBreak="0">
    <w:nsid w:val="5EAB1A78"/>
    <w:multiLevelType w:val="hybridMultilevel"/>
    <w:tmpl w:val="7E4A53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C276C7"/>
    <w:multiLevelType w:val="hybridMultilevel"/>
    <w:tmpl w:val="F0C66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5A6FA1"/>
    <w:multiLevelType w:val="multilevel"/>
    <w:tmpl w:val="6DFE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4C3A67"/>
    <w:multiLevelType w:val="hybridMultilevel"/>
    <w:tmpl w:val="69207F1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9F3D11"/>
    <w:multiLevelType w:val="hybridMultilevel"/>
    <w:tmpl w:val="D73239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F33F14"/>
    <w:multiLevelType w:val="hybridMultilevel"/>
    <w:tmpl w:val="252A3E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0623E26"/>
    <w:multiLevelType w:val="multilevel"/>
    <w:tmpl w:val="1C6CD68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2ED454B"/>
    <w:multiLevelType w:val="hybridMultilevel"/>
    <w:tmpl w:val="1960E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4062F1"/>
    <w:multiLevelType w:val="hybridMultilevel"/>
    <w:tmpl w:val="48F42D7C"/>
    <w:lvl w:ilvl="0" w:tplc="BFF6C506">
      <w:start w:val="65535"/>
      <w:numFmt w:val="bullet"/>
      <w:lvlText w:val=""/>
      <w:lvlJc w:val="left"/>
      <w:pPr>
        <w:tabs>
          <w:tab w:val="num" w:pos="1800"/>
        </w:tabs>
        <w:ind w:left="1440" w:firstLine="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2160" w:hanging="720"/>
        </w:pPr>
        <w:rPr>
          <w:rFonts w:ascii="Times New Roman" w:hAnsi="Times New Roman" w:hint="default"/>
        </w:rPr>
      </w:lvl>
    </w:lvlOverride>
  </w:num>
  <w:num w:numId="6">
    <w:abstractNumId w:val="11"/>
  </w:num>
  <w:num w:numId="7">
    <w:abstractNumId w:val="9"/>
  </w:num>
  <w:num w:numId="8">
    <w:abstractNumId w:val="21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14"/>
  </w:num>
  <w:num w:numId="14">
    <w:abstractNumId w:val="20"/>
  </w:num>
  <w:num w:numId="15">
    <w:abstractNumId w:val="17"/>
  </w:num>
  <w:num w:numId="16">
    <w:abstractNumId w:val="4"/>
  </w:num>
  <w:num w:numId="17">
    <w:abstractNumId w:val="16"/>
  </w:num>
  <w:num w:numId="18">
    <w:abstractNumId w:val="19"/>
  </w:num>
  <w:num w:numId="19">
    <w:abstractNumId w:val="10"/>
  </w:num>
  <w:num w:numId="20">
    <w:abstractNumId w:val="15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EB"/>
    <w:rsid w:val="000072B7"/>
    <w:rsid w:val="0001361F"/>
    <w:rsid w:val="00073EFB"/>
    <w:rsid w:val="000F7E12"/>
    <w:rsid w:val="00122296"/>
    <w:rsid w:val="001351B9"/>
    <w:rsid w:val="001416AC"/>
    <w:rsid w:val="00151697"/>
    <w:rsid w:val="00176E2B"/>
    <w:rsid w:val="001C0CCA"/>
    <w:rsid w:val="002473A4"/>
    <w:rsid w:val="00255E38"/>
    <w:rsid w:val="00263180"/>
    <w:rsid w:val="002C5762"/>
    <w:rsid w:val="002E0C9E"/>
    <w:rsid w:val="002F2E07"/>
    <w:rsid w:val="003639AF"/>
    <w:rsid w:val="003A789F"/>
    <w:rsid w:val="003C1098"/>
    <w:rsid w:val="003D1F95"/>
    <w:rsid w:val="004975DC"/>
    <w:rsid w:val="004A0B7A"/>
    <w:rsid w:val="004A4198"/>
    <w:rsid w:val="00530528"/>
    <w:rsid w:val="00553A19"/>
    <w:rsid w:val="00574C94"/>
    <w:rsid w:val="00583E48"/>
    <w:rsid w:val="005B30BE"/>
    <w:rsid w:val="005C05B7"/>
    <w:rsid w:val="00611345"/>
    <w:rsid w:val="006578BE"/>
    <w:rsid w:val="006A63AD"/>
    <w:rsid w:val="006B0502"/>
    <w:rsid w:val="006B319A"/>
    <w:rsid w:val="006D7E0D"/>
    <w:rsid w:val="0075134E"/>
    <w:rsid w:val="007B0F6B"/>
    <w:rsid w:val="007D5F17"/>
    <w:rsid w:val="008357C7"/>
    <w:rsid w:val="008652C0"/>
    <w:rsid w:val="00871946"/>
    <w:rsid w:val="00872893"/>
    <w:rsid w:val="008A7D23"/>
    <w:rsid w:val="008E0A8C"/>
    <w:rsid w:val="008E0C3A"/>
    <w:rsid w:val="008E40EF"/>
    <w:rsid w:val="009547DB"/>
    <w:rsid w:val="009710DE"/>
    <w:rsid w:val="00974A4B"/>
    <w:rsid w:val="00991A2C"/>
    <w:rsid w:val="009B47AF"/>
    <w:rsid w:val="009C52F8"/>
    <w:rsid w:val="00A47F56"/>
    <w:rsid w:val="00A61273"/>
    <w:rsid w:val="00A671CE"/>
    <w:rsid w:val="00A82150"/>
    <w:rsid w:val="00AB7B5F"/>
    <w:rsid w:val="00AD7516"/>
    <w:rsid w:val="00B43C01"/>
    <w:rsid w:val="00B47D1B"/>
    <w:rsid w:val="00B90F6B"/>
    <w:rsid w:val="00BA67D4"/>
    <w:rsid w:val="00BB5DF2"/>
    <w:rsid w:val="00BC7B5C"/>
    <w:rsid w:val="00C04932"/>
    <w:rsid w:val="00C44890"/>
    <w:rsid w:val="00C548DD"/>
    <w:rsid w:val="00C82303"/>
    <w:rsid w:val="00CA0476"/>
    <w:rsid w:val="00CA29CF"/>
    <w:rsid w:val="00D209EB"/>
    <w:rsid w:val="00D95D17"/>
    <w:rsid w:val="00DC5815"/>
    <w:rsid w:val="00DE21C1"/>
    <w:rsid w:val="00DF5647"/>
    <w:rsid w:val="00E8629A"/>
    <w:rsid w:val="00EF2929"/>
    <w:rsid w:val="00EF722E"/>
    <w:rsid w:val="00F1527E"/>
    <w:rsid w:val="00F47708"/>
    <w:rsid w:val="00F82F0B"/>
    <w:rsid w:val="00F967E0"/>
    <w:rsid w:val="00FA114C"/>
    <w:rsid w:val="00FD752C"/>
    <w:rsid w:val="00FF2001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01890"/>
  <w15:chartTrackingRefBased/>
  <w15:docId w15:val="{C002D705-DCC7-48C5-B04D-679DCB16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styleId="BodyText">
    <w:name w:val="Body Text"/>
    <w:basedOn w:val="Normal"/>
    <w:semiHidden/>
    <w:pPr>
      <w:jc w:val="both"/>
    </w:pPr>
    <w:rPr>
      <w:bCs/>
    </w:rPr>
  </w:style>
  <w:style w:type="paragraph" w:styleId="BodyTextIndent">
    <w:name w:val="Body Text Indent"/>
    <w:basedOn w:val="Normal"/>
    <w:semiHidden/>
    <w:pPr>
      <w:pBdr>
        <w:top w:val="thickThinSmallGap" w:sz="24" w:space="1" w:color="auto"/>
      </w:pBdr>
      <w:ind w:left="1440" w:hanging="1440"/>
    </w:pPr>
  </w:style>
  <w:style w:type="paragraph" w:customStyle="1" w:styleId="Level1">
    <w:name w:val="Level 1"/>
    <w:basedOn w:val="Normal"/>
    <w:pPr>
      <w:widowControl w:val="0"/>
      <w:autoSpaceDE w:val="0"/>
      <w:autoSpaceDN w:val="0"/>
      <w:adjustRightInd w:val="0"/>
      <w:ind w:left="1440" w:hanging="720"/>
    </w:pPr>
    <w:rPr>
      <w:sz w:val="20"/>
    </w:rPr>
  </w:style>
  <w:style w:type="paragraph" w:styleId="ListParagraph">
    <w:name w:val="List Paragraph"/>
    <w:basedOn w:val="Normal"/>
    <w:uiPriority w:val="34"/>
    <w:qFormat/>
    <w:rsid w:val="006D7E0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F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F5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52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9E326-226E-4469-B738-6332D8FD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Inspections</vt:lpstr>
    </vt:vector>
  </TitlesOfParts>
  <Company>Corner Drug Store, Inc.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Inspections</dc:title>
  <dc:subject/>
  <dc:creator>CDS</dc:creator>
  <cp:keywords/>
  <cp:lastModifiedBy>Sam Clark</cp:lastModifiedBy>
  <cp:revision>2</cp:revision>
  <cp:lastPrinted>2011-03-10T12:30:00Z</cp:lastPrinted>
  <dcterms:created xsi:type="dcterms:W3CDTF">2025-12-13T18:28:00Z</dcterms:created>
  <dcterms:modified xsi:type="dcterms:W3CDTF">2025-12-13T18:28:00Z</dcterms:modified>
</cp:coreProperties>
</file>