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975" w:rsidRDefault="00032BE6">
      <w:pPr>
        <w:pStyle w:val="Title"/>
        <w:pBdr>
          <w:bottom w:val="single" w:sz="4" w:space="1" w:color="auto"/>
        </w:pBdr>
        <w:rPr>
          <w:bCs w:val="0"/>
        </w:rPr>
      </w:pPr>
      <w:r>
        <w:t>Financial Close and Reporting</w:t>
      </w:r>
      <w:r w:rsidR="002E25C1">
        <w:t xml:space="preserve"> Policy</w:t>
      </w:r>
    </w:p>
    <w:p w:rsidR="003A7975" w:rsidRDefault="003A7975">
      <w:pPr>
        <w:spacing w:before="100" w:beforeAutospacing="1"/>
        <w:ind w:left="1440" w:hanging="1440"/>
        <w:jc w:val="both"/>
      </w:pPr>
      <w:r>
        <w:rPr>
          <w:b/>
          <w:bCs/>
          <w:u w:val="single"/>
        </w:rPr>
        <w:t>Purpose:</w:t>
      </w:r>
      <w:r>
        <w:tab/>
      </w:r>
      <w:r w:rsidR="002E25C1">
        <w:t>The intent of th</w:t>
      </w:r>
      <w:r w:rsidR="00032BE6">
        <w:t xml:space="preserve">is policy is to describe process for month end and fiscal year closing </w:t>
      </w:r>
    </w:p>
    <w:p w:rsidR="00032BE6" w:rsidRDefault="003A7975">
      <w:pPr>
        <w:tabs>
          <w:tab w:val="left" w:pos="-1440"/>
        </w:tabs>
        <w:spacing w:before="100" w:beforeAutospacing="1"/>
        <w:ind w:left="1440" w:hanging="1440"/>
        <w:jc w:val="both"/>
      </w:pPr>
      <w:r>
        <w:rPr>
          <w:b/>
          <w:bCs/>
          <w:u w:val="single"/>
        </w:rPr>
        <w:t>Policy:</w:t>
      </w:r>
      <w:r>
        <w:tab/>
      </w:r>
      <w:r w:rsidR="00032BE6">
        <w:t xml:space="preserve">The month end closing procedures will ensure that all transactions </w:t>
      </w:r>
      <w:proofErr w:type="gramStart"/>
      <w:r w:rsidR="00032BE6">
        <w:t>have been properly posted to the General Ledger including but not limited to</w:t>
      </w:r>
      <w:proofErr w:type="gramEnd"/>
      <w:r w:rsidR="00032BE6">
        <w:t xml:space="preserve">: </w:t>
      </w:r>
    </w:p>
    <w:p w:rsidR="00032BE6" w:rsidRDefault="00032BE6" w:rsidP="00032BE6">
      <w:pPr>
        <w:pStyle w:val="ListParagraph"/>
        <w:numPr>
          <w:ilvl w:val="0"/>
          <w:numId w:val="16"/>
        </w:numPr>
        <w:spacing w:after="240"/>
        <w:jc w:val="both"/>
      </w:pPr>
      <w:r>
        <w:t>Cash receipts and disbursements</w:t>
      </w:r>
    </w:p>
    <w:p w:rsidR="00032BE6" w:rsidRDefault="00032BE6" w:rsidP="00032BE6">
      <w:pPr>
        <w:pStyle w:val="ListParagraph"/>
        <w:numPr>
          <w:ilvl w:val="0"/>
          <w:numId w:val="16"/>
        </w:numPr>
        <w:spacing w:after="240"/>
        <w:jc w:val="both"/>
      </w:pPr>
      <w:r>
        <w:t>Accounts receivables</w:t>
      </w:r>
    </w:p>
    <w:p w:rsidR="00032BE6" w:rsidRDefault="00032BE6" w:rsidP="00032BE6">
      <w:pPr>
        <w:pStyle w:val="ListParagraph"/>
        <w:numPr>
          <w:ilvl w:val="0"/>
          <w:numId w:val="16"/>
        </w:numPr>
        <w:spacing w:after="240"/>
        <w:jc w:val="both"/>
      </w:pPr>
      <w:r>
        <w:t>In-kinds</w:t>
      </w:r>
    </w:p>
    <w:p w:rsidR="00032BE6" w:rsidRDefault="00032BE6" w:rsidP="00032BE6">
      <w:pPr>
        <w:pStyle w:val="ListParagraph"/>
        <w:numPr>
          <w:ilvl w:val="0"/>
          <w:numId w:val="16"/>
        </w:numPr>
        <w:spacing w:after="240"/>
        <w:jc w:val="both"/>
      </w:pPr>
      <w:r>
        <w:t xml:space="preserve">Bank reconciliations &amp; resulting journal entries </w:t>
      </w:r>
    </w:p>
    <w:p w:rsidR="00032BE6" w:rsidRDefault="00032BE6" w:rsidP="00032BE6">
      <w:pPr>
        <w:pStyle w:val="ListParagraph"/>
        <w:numPr>
          <w:ilvl w:val="0"/>
          <w:numId w:val="16"/>
        </w:numPr>
        <w:spacing w:after="240"/>
        <w:jc w:val="both"/>
      </w:pPr>
      <w:r>
        <w:t>Depreciation</w:t>
      </w:r>
    </w:p>
    <w:p w:rsidR="00032BE6" w:rsidRDefault="00032BE6" w:rsidP="00032BE6">
      <w:pPr>
        <w:pStyle w:val="ListParagraph"/>
        <w:numPr>
          <w:ilvl w:val="0"/>
          <w:numId w:val="16"/>
        </w:numPr>
        <w:spacing w:after="240"/>
        <w:jc w:val="both"/>
      </w:pPr>
      <w:r>
        <w:t>Rents both payable &amp; receivable</w:t>
      </w:r>
    </w:p>
    <w:p w:rsidR="00032BE6" w:rsidRDefault="00032BE6" w:rsidP="00032BE6">
      <w:pPr>
        <w:pStyle w:val="ListParagraph"/>
        <w:numPr>
          <w:ilvl w:val="0"/>
          <w:numId w:val="16"/>
        </w:numPr>
        <w:spacing w:after="240"/>
        <w:jc w:val="both"/>
      </w:pPr>
      <w:r>
        <w:t>Monthly insurance accrual entries</w:t>
      </w:r>
    </w:p>
    <w:p w:rsidR="00032BE6" w:rsidRDefault="00032BE6" w:rsidP="00032BE6">
      <w:pPr>
        <w:pStyle w:val="ListParagraph"/>
        <w:spacing w:after="240"/>
        <w:ind w:left="1800"/>
        <w:jc w:val="both"/>
      </w:pPr>
    </w:p>
    <w:p w:rsidR="00032BE6" w:rsidRDefault="00032BE6" w:rsidP="00032BE6">
      <w:pPr>
        <w:pStyle w:val="ListParagraph"/>
        <w:spacing w:after="240"/>
        <w:jc w:val="both"/>
      </w:pPr>
      <w:r>
        <w:t xml:space="preserve">            </w:t>
      </w:r>
      <w:r w:rsidRPr="007C2DE3">
        <w:t xml:space="preserve">The month end closing procedures are the responsibility of the </w:t>
      </w:r>
      <w:r>
        <w:t>Comptroller</w:t>
      </w:r>
    </w:p>
    <w:p w:rsidR="003A7975" w:rsidRDefault="003A7975">
      <w:pPr>
        <w:spacing w:before="100" w:beforeAutospacing="1"/>
        <w:ind w:left="1440" w:hanging="1440"/>
        <w:jc w:val="both"/>
        <w:rPr>
          <w:b/>
          <w:bCs/>
          <w:u w:val="single"/>
        </w:rPr>
      </w:pPr>
      <w:r>
        <w:rPr>
          <w:b/>
          <w:bCs/>
          <w:u w:val="single"/>
        </w:rPr>
        <w:t>Procedure and/or Process:</w:t>
      </w:r>
    </w:p>
    <w:p w:rsidR="003A7975" w:rsidRDefault="003A7975"/>
    <w:p w:rsidR="007E3A78" w:rsidRDefault="007E3A78" w:rsidP="007E3A78">
      <w:pPr>
        <w:spacing w:after="240"/>
        <w:jc w:val="both"/>
      </w:pPr>
      <w:r>
        <w:t xml:space="preserve">Prior to </w:t>
      </w:r>
      <w:proofErr w:type="gramStart"/>
      <w:r>
        <w:t>closing</w:t>
      </w:r>
      <w:proofErr w:type="gramEnd"/>
      <w:r>
        <w:t xml:space="preserve"> the Comptroller</w:t>
      </w:r>
      <w:r w:rsidRPr="007C2DE3">
        <w:t xml:space="preserve"> review</w:t>
      </w:r>
      <w:r>
        <w:t>s</w:t>
      </w:r>
      <w:r w:rsidRPr="007C2DE3">
        <w:t xml:space="preserve"> a</w:t>
      </w:r>
      <w:r>
        <w:t>ll</w:t>
      </w:r>
      <w:r w:rsidRPr="007C2DE3">
        <w:t xml:space="preserve"> journal entries</w:t>
      </w:r>
      <w:r>
        <w:t xml:space="preserve"> and the Trial Balance report </w:t>
      </w:r>
      <w:r w:rsidRPr="007C2DE3">
        <w:t>and determines that all transactions have been poste</w:t>
      </w:r>
      <w:r>
        <w:t>d properly.</w:t>
      </w:r>
      <w:r w:rsidR="003941B2">
        <w:t xml:space="preserve"> </w:t>
      </w:r>
    </w:p>
    <w:p w:rsidR="003941B2" w:rsidRDefault="003941B2" w:rsidP="007E3A78">
      <w:pPr>
        <w:spacing w:after="240"/>
        <w:jc w:val="both"/>
      </w:pPr>
      <w:r>
        <w:t xml:space="preserve">CDS has several locations, most of which offer services covered by one contract or funding source: </w:t>
      </w:r>
      <w:r w:rsidR="00125E9A">
        <w:t>therefore,</w:t>
      </w:r>
      <w:r>
        <w:t xml:space="preserve"> where possible, </w:t>
      </w:r>
      <w:proofErr w:type="gramStart"/>
      <w:r w:rsidR="00125E9A">
        <w:t>costs that are specifically identifiable</w:t>
      </w:r>
      <w:proofErr w:type="gramEnd"/>
      <w:r>
        <w:t xml:space="preserve"> are charged directly to that contract via a separate department in the accounting system. Costs in locations covered by one contract offering several services </w:t>
      </w:r>
      <w:proofErr w:type="gramStart"/>
      <w:r>
        <w:t>are apportioned</w:t>
      </w:r>
      <w:proofErr w:type="gramEnd"/>
      <w:r>
        <w:t xml:space="preserve"> by percentage of direct service salaries. Administrative costs </w:t>
      </w:r>
      <w:proofErr w:type="gramStart"/>
      <w:r>
        <w:t>are apportioned</w:t>
      </w:r>
      <w:proofErr w:type="gramEnd"/>
      <w:r>
        <w:t xml:space="preserve"> by the weighted average method.</w:t>
      </w:r>
    </w:p>
    <w:p w:rsidR="00032BE6" w:rsidRDefault="007E3A78" w:rsidP="00032BE6">
      <w:pPr>
        <w:spacing w:after="240"/>
        <w:jc w:val="both"/>
      </w:pPr>
      <w:r>
        <w:t>The Comptroller and COO</w:t>
      </w:r>
      <w:r w:rsidR="00032BE6">
        <w:t xml:space="preserve"> review timesheets and payroll reports every </w:t>
      </w:r>
      <w:r w:rsidR="00125E9A">
        <w:t>payroll-processing</w:t>
      </w:r>
      <w:r w:rsidR="00032BE6">
        <w:t xml:space="preserve"> period. </w:t>
      </w:r>
    </w:p>
    <w:p w:rsidR="00032BE6" w:rsidRDefault="00032BE6" w:rsidP="00032BE6">
      <w:pPr>
        <w:spacing w:after="240"/>
        <w:jc w:val="both"/>
      </w:pPr>
      <w:r>
        <w:t>Upon completion of the above each month, combined comparative financial statements are prepared which compare actual against the prior year with variance and variance percentages.</w:t>
      </w:r>
      <w:r w:rsidR="001D0BE7">
        <w:t xml:space="preserve"> The Comptroller</w:t>
      </w:r>
      <w:r>
        <w:t xml:space="preserve"> investigates any unusual fluctuation or unexpected variances in preparation for the monthly Budget and Finance and Board meetings.</w:t>
      </w:r>
    </w:p>
    <w:p w:rsidR="00032BE6" w:rsidRDefault="00032BE6" w:rsidP="00032BE6">
      <w:pPr>
        <w:spacing w:after="240"/>
        <w:jc w:val="both"/>
      </w:pPr>
      <w:r>
        <w:t xml:space="preserve">At the end of the fiscal year, the above monthly process </w:t>
      </w:r>
      <w:proofErr w:type="gramStart"/>
      <w:r>
        <w:t>is performed</w:t>
      </w:r>
      <w:proofErr w:type="gramEnd"/>
      <w:r>
        <w:t xml:space="preserve"> for the month of J</w:t>
      </w:r>
      <w:r w:rsidR="007E3A78">
        <w:t>une.  Additionally The Comptroller</w:t>
      </w:r>
      <w:r>
        <w:t xml:space="preserve"> posts:</w:t>
      </w:r>
    </w:p>
    <w:p w:rsidR="00032BE6" w:rsidRDefault="00032BE6" w:rsidP="00032BE6">
      <w:pPr>
        <w:pStyle w:val="ListParagraph"/>
        <w:numPr>
          <w:ilvl w:val="0"/>
          <w:numId w:val="17"/>
        </w:numPr>
        <w:spacing w:after="240"/>
        <w:jc w:val="both"/>
      </w:pPr>
      <w:r>
        <w:t xml:space="preserve">The accrual entries for salaries, vacation and sick time.  </w:t>
      </w:r>
    </w:p>
    <w:p w:rsidR="00032BE6" w:rsidRDefault="002557C0" w:rsidP="00032BE6">
      <w:pPr>
        <w:pStyle w:val="ListParagraph"/>
        <w:numPr>
          <w:ilvl w:val="0"/>
          <w:numId w:val="17"/>
        </w:numPr>
        <w:spacing w:after="240"/>
        <w:jc w:val="both"/>
      </w:pPr>
      <w:r>
        <w:t>The Prevention Director</w:t>
      </w:r>
      <w:r w:rsidR="00032BE6">
        <w:t xml:space="preserve"> receives in-kinds from the </w:t>
      </w:r>
      <w:r w:rsidR="007E3A78">
        <w:t>various school systems for the Comptroller</w:t>
      </w:r>
      <w:r w:rsidR="00032BE6">
        <w:t xml:space="preserve"> to post.  </w:t>
      </w:r>
    </w:p>
    <w:p w:rsidR="00032BE6" w:rsidRDefault="007E3A78" w:rsidP="00032BE6">
      <w:pPr>
        <w:pStyle w:val="ListParagraph"/>
        <w:numPr>
          <w:ilvl w:val="0"/>
          <w:numId w:val="17"/>
        </w:numPr>
        <w:spacing w:after="240"/>
        <w:jc w:val="both"/>
      </w:pPr>
      <w:r>
        <w:t>The Comptroller</w:t>
      </w:r>
      <w:r w:rsidR="00032BE6">
        <w:t xml:space="preserve"> assures the Asset system is reconciled to the general ledger.  </w:t>
      </w:r>
    </w:p>
    <w:p w:rsidR="00032BE6" w:rsidRDefault="00032BE6" w:rsidP="00032BE6">
      <w:pPr>
        <w:pStyle w:val="ListParagraph"/>
        <w:numPr>
          <w:ilvl w:val="0"/>
          <w:numId w:val="17"/>
        </w:numPr>
        <w:spacing w:after="240"/>
        <w:jc w:val="both"/>
      </w:pPr>
      <w:r>
        <w:t xml:space="preserve">Additional entries </w:t>
      </w:r>
      <w:proofErr w:type="gramStart"/>
      <w:r>
        <w:t>are performed</w:t>
      </w:r>
      <w:proofErr w:type="gramEnd"/>
      <w:r>
        <w:t xml:space="preserve"> if needed.  The trial balance ending balances </w:t>
      </w:r>
      <w:proofErr w:type="gramStart"/>
      <w:r>
        <w:t>are reviewed</w:t>
      </w:r>
      <w:proofErr w:type="gramEnd"/>
      <w:r>
        <w:t xml:space="preserve"> for correctness.  </w:t>
      </w:r>
    </w:p>
    <w:p w:rsidR="00032BE6" w:rsidRPr="007E3A78" w:rsidRDefault="00032BE6" w:rsidP="00032BE6">
      <w:pPr>
        <w:spacing w:after="240"/>
        <w:jc w:val="both"/>
      </w:pPr>
      <w:r>
        <w:t xml:space="preserve">The general ledger </w:t>
      </w:r>
      <w:proofErr w:type="gramStart"/>
      <w:r>
        <w:t>is then turned over</w:t>
      </w:r>
      <w:proofErr w:type="gramEnd"/>
      <w:r>
        <w:t xml:space="preserve"> to the audit team upon satisfactory review.</w:t>
      </w:r>
    </w:p>
    <w:p w:rsidR="00032BE6" w:rsidRPr="00896E89" w:rsidRDefault="00032BE6" w:rsidP="00032BE6">
      <w:pPr>
        <w:spacing w:after="240"/>
        <w:jc w:val="both"/>
        <w:rPr>
          <w:b/>
        </w:rPr>
      </w:pPr>
      <w:r w:rsidRPr="00896E89">
        <w:rPr>
          <w:b/>
        </w:rPr>
        <w:t>Capturing and processing non</w:t>
      </w:r>
      <w:r>
        <w:rPr>
          <w:b/>
        </w:rPr>
        <w:t>-</w:t>
      </w:r>
      <w:r w:rsidRPr="00896E89">
        <w:rPr>
          <w:b/>
        </w:rPr>
        <w:t>routine information:</w:t>
      </w:r>
    </w:p>
    <w:p w:rsidR="00032BE6" w:rsidRPr="00896E89" w:rsidRDefault="00263777" w:rsidP="00032BE6">
      <w:pPr>
        <w:spacing w:after="240"/>
        <w:jc w:val="both"/>
      </w:pPr>
      <w:r>
        <w:lastRenderedPageBreak/>
        <w:t>A duly licensed public accounting and auditing</w:t>
      </w:r>
      <w:bookmarkStart w:id="0" w:name="_GoBack"/>
      <w:bookmarkEnd w:id="0"/>
      <w:r>
        <w:t xml:space="preserve"> firm</w:t>
      </w:r>
      <w:r w:rsidR="00032BE6" w:rsidRPr="00896E89">
        <w:t xml:space="preserve"> will reconcile and examine the schedules of federal awards and the schedule of </w:t>
      </w:r>
      <w:r w:rsidR="00032BE6">
        <w:t>SA</w:t>
      </w:r>
      <w:r w:rsidR="00032BE6" w:rsidRPr="00896E89">
        <w:t xml:space="preserve">MH, as included in the financial statements. The information contained in the schedule of functional expenses </w:t>
      </w:r>
      <w:proofErr w:type="gramStart"/>
      <w:r w:rsidR="00032BE6" w:rsidRPr="00896E89">
        <w:t>is generated</w:t>
      </w:r>
      <w:proofErr w:type="gramEnd"/>
      <w:r w:rsidR="00032BE6" w:rsidRPr="00896E89">
        <w:t xml:space="preserve"> from CDS management.</w:t>
      </w:r>
    </w:p>
    <w:p w:rsidR="00032BE6" w:rsidRPr="00896E89" w:rsidRDefault="00032BE6" w:rsidP="00032BE6">
      <w:pPr>
        <w:spacing w:after="240"/>
        <w:jc w:val="both"/>
      </w:pPr>
      <w:r w:rsidRPr="00896E89">
        <w:t xml:space="preserve">The note disclosures come from a variety of sources.  The notes </w:t>
      </w:r>
      <w:proofErr w:type="gramStart"/>
      <w:r w:rsidRPr="00896E89">
        <w:t>are generated</w:t>
      </w:r>
      <w:proofErr w:type="gramEnd"/>
      <w:r w:rsidRPr="00896E89">
        <w:t xml:space="preserve"> from various planning forms, audit work</w:t>
      </w:r>
      <w:r>
        <w:t xml:space="preserve"> </w:t>
      </w:r>
      <w:r w:rsidRPr="00896E89">
        <w:t>papers, and PF documents.</w:t>
      </w:r>
    </w:p>
    <w:p w:rsidR="00032BE6" w:rsidRDefault="00032BE6" w:rsidP="002E25C1">
      <w:pPr>
        <w:jc w:val="both"/>
      </w:pPr>
    </w:p>
    <w:sectPr w:rsidR="00032BE6">
      <w:foot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D81" w:rsidRDefault="00D56D81">
      <w:r>
        <w:separator/>
      </w:r>
    </w:p>
  </w:endnote>
  <w:endnote w:type="continuationSeparator" w:id="0">
    <w:p w:rsidR="00D56D81" w:rsidRDefault="00D56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PS"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975" w:rsidRDefault="003A7975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28"/>
      </w:rPr>
    </w:pPr>
    <w:r>
      <w:rPr>
        <w:sz w:val="18"/>
      </w:rPr>
      <w:t xml:space="preserve">Rev. </w:t>
    </w:r>
    <w:r w:rsidR="007E3A78">
      <w:rPr>
        <w:sz w:val="18"/>
      </w:rPr>
      <w:t>6/22</w:t>
    </w:r>
    <w:r w:rsidR="00006736">
      <w:rPr>
        <w:sz w:val="18"/>
      </w:rPr>
      <w:t>, 8/22</w:t>
    </w:r>
    <w:r>
      <w:rPr>
        <w:sz w:val="18"/>
      </w:rPr>
      <w:tab/>
    </w:r>
    <w:r w:rsidR="00263777">
      <w:rPr>
        <w:sz w:val="18"/>
      </w:rPr>
      <w:t>, 7/24</w:t>
    </w:r>
    <w:r w:rsidR="001E11F4">
      <w:rPr>
        <w:sz w:val="18"/>
      </w:rPr>
      <w:t xml:space="preserve">                                                                </w:t>
    </w:r>
    <w:r>
      <w:rPr>
        <w:sz w:val="18"/>
      </w:rPr>
      <w:t xml:space="preserve">Page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263777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  <w:r>
      <w:rPr>
        <w:rStyle w:val="PageNumber"/>
        <w:sz w:val="18"/>
      </w:rPr>
      <w:t xml:space="preserve"> of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NUMPAGES </w:instrText>
    </w:r>
    <w:r>
      <w:rPr>
        <w:rStyle w:val="PageNumber"/>
        <w:sz w:val="18"/>
      </w:rPr>
      <w:fldChar w:fldCharType="separate"/>
    </w:r>
    <w:r w:rsidR="00263777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  <w:r w:rsidR="001E11F4">
      <w:rPr>
        <w:rStyle w:val="PageNumber"/>
      </w:rPr>
      <w:t xml:space="preserve">                                                    </w:t>
    </w:r>
    <w:r w:rsidR="007E3A78">
      <w:rPr>
        <w:rStyle w:val="PageNumber"/>
        <w:sz w:val="28"/>
      </w:rPr>
      <w:t>P-</w:t>
    </w:r>
    <w:r w:rsidR="001E11F4">
      <w:rPr>
        <w:rStyle w:val="PageNumber"/>
        <w:sz w:val="28"/>
      </w:rPr>
      <w:t>1298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D81" w:rsidRDefault="00D56D81">
      <w:r>
        <w:separator/>
      </w:r>
    </w:p>
  </w:footnote>
  <w:footnote w:type="continuationSeparator" w:id="0">
    <w:p w:rsidR="00D56D81" w:rsidRDefault="00D56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B42D5CA"/>
    <w:lvl w:ilvl="0">
      <w:numFmt w:val="decimal"/>
      <w:lvlText w:val="*"/>
      <w:lvlJc w:val="left"/>
    </w:lvl>
  </w:abstractNum>
  <w:abstractNum w:abstractNumId="1" w15:restartNumberingAfterBreak="0">
    <w:nsid w:val="09D31E58"/>
    <w:multiLevelType w:val="hybridMultilevel"/>
    <w:tmpl w:val="E09424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410357"/>
    <w:multiLevelType w:val="singleLevel"/>
    <w:tmpl w:val="AA725C4C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3" w15:restartNumberingAfterBreak="0">
    <w:nsid w:val="0E7E379F"/>
    <w:multiLevelType w:val="hybridMultilevel"/>
    <w:tmpl w:val="0F187D36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 w15:restartNumberingAfterBreak="0">
    <w:nsid w:val="11F76414"/>
    <w:multiLevelType w:val="hybridMultilevel"/>
    <w:tmpl w:val="5B2E85E2"/>
    <w:lvl w:ilvl="0" w:tplc="BFF6C506">
      <w:start w:val="65535"/>
      <w:numFmt w:val="bullet"/>
      <w:lvlText w:val=""/>
      <w:lvlJc w:val="left"/>
      <w:pPr>
        <w:tabs>
          <w:tab w:val="num" w:pos="360"/>
        </w:tabs>
        <w:ind w:left="0" w:firstLine="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5" w15:restartNumberingAfterBreak="0">
    <w:nsid w:val="1FDC048D"/>
    <w:multiLevelType w:val="hybridMultilevel"/>
    <w:tmpl w:val="97B212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32509CB"/>
    <w:multiLevelType w:val="hybridMultilevel"/>
    <w:tmpl w:val="0B8AF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E55C5"/>
    <w:multiLevelType w:val="hybridMultilevel"/>
    <w:tmpl w:val="4524E000"/>
    <w:lvl w:ilvl="0" w:tplc="C1F4614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3D7D1EC3"/>
    <w:multiLevelType w:val="hybridMultilevel"/>
    <w:tmpl w:val="BC549B70"/>
    <w:lvl w:ilvl="0" w:tplc="BFF6C506">
      <w:start w:val="65535"/>
      <w:numFmt w:val="bullet"/>
      <w:lvlText w:val=""/>
      <w:lvlJc w:val="left"/>
      <w:pPr>
        <w:tabs>
          <w:tab w:val="num" w:pos="360"/>
        </w:tabs>
        <w:ind w:left="0" w:firstLine="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9" w15:restartNumberingAfterBreak="0">
    <w:nsid w:val="3F9E5B3F"/>
    <w:multiLevelType w:val="hybridMultilevel"/>
    <w:tmpl w:val="859647DC"/>
    <w:lvl w:ilvl="0" w:tplc="D41A779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23C43A1"/>
    <w:multiLevelType w:val="hybridMultilevel"/>
    <w:tmpl w:val="5A46AF94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1" w15:restartNumberingAfterBreak="0">
    <w:nsid w:val="4D25423A"/>
    <w:multiLevelType w:val="hybridMultilevel"/>
    <w:tmpl w:val="48F42D7C"/>
    <w:lvl w:ilvl="0" w:tplc="7C007EF2">
      <w:start w:val="65535"/>
      <w:numFmt w:val="bullet"/>
      <w:lvlText w:val=""/>
      <w:lvlJc w:val="left"/>
      <w:pPr>
        <w:tabs>
          <w:tab w:val="num" w:pos="1800"/>
        </w:tabs>
        <w:ind w:left="1440" w:firstLine="0"/>
      </w:pPr>
      <w:rPr>
        <w:rFonts w:ascii="SymbolPS" w:hAnsi="SymbolP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BF74BE1"/>
    <w:multiLevelType w:val="hybridMultilevel"/>
    <w:tmpl w:val="7232487C"/>
    <w:lvl w:ilvl="0" w:tplc="C4BCD8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90735"/>
    <w:multiLevelType w:val="hybridMultilevel"/>
    <w:tmpl w:val="48F42D7C"/>
    <w:lvl w:ilvl="0" w:tplc="72967724">
      <w:start w:val="65535"/>
      <w:numFmt w:val="bullet"/>
      <w:lvlText w:val=""/>
      <w:lvlJc w:val="left"/>
      <w:pPr>
        <w:tabs>
          <w:tab w:val="num" w:pos="1800"/>
        </w:tabs>
        <w:ind w:left="1440" w:firstLine="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D8A536F"/>
    <w:multiLevelType w:val="hybridMultilevel"/>
    <w:tmpl w:val="3EA22DEE"/>
    <w:lvl w:ilvl="0" w:tplc="BFF6C506">
      <w:start w:val="65535"/>
      <w:numFmt w:val="bullet"/>
      <w:lvlText w:val=""/>
      <w:lvlJc w:val="left"/>
      <w:pPr>
        <w:tabs>
          <w:tab w:val="num" w:pos="360"/>
        </w:tabs>
        <w:ind w:left="0" w:firstLine="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5" w15:restartNumberingAfterBreak="0">
    <w:nsid w:val="62C276C7"/>
    <w:multiLevelType w:val="hybridMultilevel"/>
    <w:tmpl w:val="F0C664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ED454B"/>
    <w:multiLevelType w:val="hybridMultilevel"/>
    <w:tmpl w:val="1960E7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4062F1"/>
    <w:multiLevelType w:val="hybridMultilevel"/>
    <w:tmpl w:val="48F42D7C"/>
    <w:lvl w:ilvl="0" w:tplc="BFF6C506">
      <w:start w:val="65535"/>
      <w:numFmt w:val="bullet"/>
      <w:lvlText w:val=""/>
      <w:lvlJc w:val="left"/>
      <w:pPr>
        <w:tabs>
          <w:tab w:val="num" w:pos="1800"/>
        </w:tabs>
        <w:ind w:left="1440" w:firstLine="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7"/>
  </w:num>
  <w:num w:numId="5">
    <w:abstractNumId w:val="0"/>
    <w:lvlOverride w:ilvl="0">
      <w:lvl w:ilvl="0">
        <w:numFmt w:val="bullet"/>
        <w:lvlText w:val="·"/>
        <w:legacy w:legacy="1" w:legacySpace="0" w:legacyIndent="720"/>
        <w:lvlJc w:val="left"/>
        <w:pPr>
          <w:ind w:left="2160" w:hanging="720"/>
        </w:pPr>
        <w:rPr>
          <w:rFonts w:ascii="Times New Roman" w:hAnsi="Times New Roman" w:hint="default"/>
        </w:rPr>
      </w:lvl>
    </w:lvlOverride>
  </w:num>
  <w:num w:numId="6">
    <w:abstractNumId w:val="13"/>
  </w:num>
  <w:num w:numId="7">
    <w:abstractNumId w:val="11"/>
  </w:num>
  <w:num w:numId="8">
    <w:abstractNumId w:val="17"/>
  </w:num>
  <w:num w:numId="9">
    <w:abstractNumId w:val="4"/>
  </w:num>
  <w:num w:numId="10">
    <w:abstractNumId w:val="14"/>
  </w:num>
  <w:num w:numId="11">
    <w:abstractNumId w:val="8"/>
  </w:num>
  <w:num w:numId="12">
    <w:abstractNumId w:val="10"/>
  </w:num>
  <w:num w:numId="13">
    <w:abstractNumId w:val="15"/>
  </w:num>
  <w:num w:numId="14">
    <w:abstractNumId w:val="16"/>
  </w:num>
  <w:num w:numId="15">
    <w:abstractNumId w:val="12"/>
  </w:num>
  <w:num w:numId="16">
    <w:abstractNumId w:val="5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CAE"/>
    <w:rsid w:val="00006736"/>
    <w:rsid w:val="00032BE6"/>
    <w:rsid w:val="00063DC4"/>
    <w:rsid w:val="00125E9A"/>
    <w:rsid w:val="001A6C63"/>
    <w:rsid w:val="001D0BE7"/>
    <w:rsid w:val="001E11F4"/>
    <w:rsid w:val="002557C0"/>
    <w:rsid w:val="00263777"/>
    <w:rsid w:val="00280770"/>
    <w:rsid w:val="002E25C1"/>
    <w:rsid w:val="003941B2"/>
    <w:rsid w:val="003A7975"/>
    <w:rsid w:val="005F440A"/>
    <w:rsid w:val="0071736E"/>
    <w:rsid w:val="00765564"/>
    <w:rsid w:val="007E3A78"/>
    <w:rsid w:val="009340FE"/>
    <w:rsid w:val="009540E6"/>
    <w:rsid w:val="00BF49D5"/>
    <w:rsid w:val="00C35936"/>
    <w:rsid w:val="00C46CAE"/>
    <w:rsid w:val="00C57E4A"/>
    <w:rsid w:val="00CB5A1A"/>
    <w:rsid w:val="00D56D81"/>
    <w:rsid w:val="00DB3C27"/>
    <w:rsid w:val="00DF2564"/>
    <w:rsid w:val="00EA158A"/>
    <w:rsid w:val="00EC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E6C9C1"/>
  <w15:chartTrackingRefBased/>
  <w15:docId w15:val="{E54D5AA2-4985-445F-B559-BE4E07DA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Courier New" w:hAnsi="Courier New" w:cs="Courier New"/>
      <w:szCs w:val="24"/>
    </w:rPr>
  </w:style>
  <w:style w:type="paragraph" w:styleId="BodyText">
    <w:name w:val="Body Text"/>
    <w:basedOn w:val="Normal"/>
    <w:semiHidden/>
    <w:pPr>
      <w:jc w:val="both"/>
    </w:pPr>
    <w:rPr>
      <w:bCs/>
    </w:rPr>
  </w:style>
  <w:style w:type="paragraph" w:styleId="BodyTextIndent">
    <w:name w:val="Body Text Indent"/>
    <w:basedOn w:val="Normal"/>
    <w:semiHidden/>
    <w:pPr>
      <w:pBdr>
        <w:top w:val="thickThinSmallGap" w:sz="24" w:space="1" w:color="auto"/>
      </w:pBdr>
      <w:ind w:left="1440" w:hanging="1440"/>
    </w:pPr>
  </w:style>
  <w:style w:type="paragraph" w:customStyle="1" w:styleId="Level1">
    <w:name w:val="Level 1"/>
    <w:basedOn w:val="Normal"/>
    <w:pPr>
      <w:widowControl w:val="0"/>
      <w:autoSpaceDE w:val="0"/>
      <w:autoSpaceDN w:val="0"/>
      <w:adjustRightInd w:val="0"/>
      <w:ind w:left="1440" w:hanging="720"/>
    </w:pPr>
    <w:rPr>
      <w:sz w:val="20"/>
    </w:rPr>
  </w:style>
  <w:style w:type="paragraph" w:styleId="ListParagraph">
    <w:name w:val="List Paragraph"/>
    <w:basedOn w:val="Normal"/>
    <w:uiPriority w:val="34"/>
    <w:qFormat/>
    <w:rsid w:val="00032B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41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Safety Inspections</vt:lpstr>
    </vt:vector>
  </TitlesOfParts>
  <Company>Corner Drug Store, Inc.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Inspections</dc:title>
  <dc:subject/>
  <dc:creator>CDS</dc:creator>
  <cp:keywords/>
  <dc:description/>
  <cp:lastModifiedBy>Sam Clark</cp:lastModifiedBy>
  <cp:revision>4</cp:revision>
  <cp:lastPrinted>2022-08-18T19:14:00Z</cp:lastPrinted>
  <dcterms:created xsi:type="dcterms:W3CDTF">2022-08-18T19:37:00Z</dcterms:created>
  <dcterms:modified xsi:type="dcterms:W3CDTF">2024-07-27T20:51:00Z</dcterms:modified>
</cp:coreProperties>
</file>