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35" w:rsidRDefault="00042735" w:rsidP="00886178">
      <w:pPr>
        <w:jc w:val="center"/>
        <w:rPr>
          <w:b/>
          <w:sz w:val="28"/>
          <w:szCs w:val="28"/>
        </w:rPr>
      </w:pPr>
      <w:bookmarkStart w:id="0" w:name="_GoBack"/>
      <w:bookmarkEnd w:id="0"/>
    </w:p>
    <w:p w:rsidR="00886178" w:rsidRPr="00EE13AB" w:rsidRDefault="00204BD8" w:rsidP="00886178">
      <w:pPr>
        <w:jc w:val="center"/>
        <w:rPr>
          <w:b/>
          <w:sz w:val="28"/>
          <w:szCs w:val="28"/>
        </w:rPr>
      </w:pPr>
      <w:r w:rsidRPr="00EE13AB">
        <w:rPr>
          <w:b/>
          <w:sz w:val="28"/>
          <w:szCs w:val="28"/>
        </w:rPr>
        <w:t>Medication Transfer</w:t>
      </w:r>
      <w:r w:rsidR="00886178" w:rsidRPr="00EE13AB">
        <w:rPr>
          <w:b/>
          <w:sz w:val="28"/>
          <w:szCs w:val="28"/>
        </w:rPr>
        <w:t xml:space="preserve"> Log</w:t>
      </w:r>
    </w:p>
    <w:p w:rsidR="00096467" w:rsidRDefault="00886178">
      <w:pPr>
        <w:rPr>
          <w:b/>
        </w:rPr>
      </w:pPr>
      <w:r>
        <w:rPr>
          <w:b/>
        </w:rPr>
        <w:t xml:space="preserve">Participant </w:t>
      </w:r>
      <w:r w:rsidR="00096467" w:rsidRPr="00096467">
        <w:rPr>
          <w:b/>
        </w:rPr>
        <w:t>Name ______</w:t>
      </w:r>
      <w:r w:rsidR="00204BD8">
        <w:rPr>
          <w:b/>
        </w:rPr>
        <w:t xml:space="preserve"> </w:t>
      </w:r>
      <w:r w:rsidR="00096467" w:rsidRPr="00096467">
        <w:rPr>
          <w:b/>
        </w:rPr>
        <w:t>__________________________________________</w:t>
      </w:r>
    </w:p>
    <w:p w:rsidR="00F278AC" w:rsidRDefault="00F278AC" w:rsidP="00802026">
      <w:r>
        <w:t>Medication Transfers:</w:t>
      </w:r>
    </w:p>
    <w:p w:rsidR="001239F6" w:rsidRDefault="00F278AC" w:rsidP="001239F6">
      <w:pPr>
        <w:pStyle w:val="ListParagraph"/>
        <w:numPr>
          <w:ilvl w:val="0"/>
          <w:numId w:val="1"/>
        </w:numPr>
      </w:pPr>
      <w:r w:rsidRPr="00EE13AB">
        <w:rPr>
          <w:b/>
        </w:rPr>
        <w:t>Participant Offsite</w:t>
      </w:r>
      <w:r w:rsidR="001239F6">
        <w:t>- when the participant will be with the legal guardian or designee away from the facility and it is anticipated that the participant will not return until after the designated time for administration.</w:t>
      </w:r>
      <w:r>
        <w:t xml:space="preserve">  Documentation occurs when participant leaves and returns. </w:t>
      </w:r>
    </w:p>
    <w:p w:rsidR="001239F6" w:rsidRDefault="00042735" w:rsidP="001239F6">
      <w:pPr>
        <w:pStyle w:val="ListParagraph"/>
        <w:numPr>
          <w:ilvl w:val="0"/>
          <w:numId w:val="1"/>
        </w:numPr>
      </w:pPr>
      <w:r>
        <w:rPr>
          <w:b/>
        </w:rPr>
        <w:t xml:space="preserve">Participant </w:t>
      </w:r>
      <w:r w:rsidR="001239F6" w:rsidRPr="00EE13AB">
        <w:rPr>
          <w:b/>
        </w:rPr>
        <w:t>Disposition</w:t>
      </w:r>
      <w:r w:rsidR="001239F6">
        <w:t>- when the participant is being discharged from the program and medication is returned to the legal guardian or designee.</w:t>
      </w:r>
      <w:r w:rsidR="00F278AC">
        <w:t xml:space="preserve">  Documentation occurs when the legal guardian or designee arrive to remove participant from the program.</w:t>
      </w:r>
    </w:p>
    <w:p w:rsidR="001239F6" w:rsidRDefault="00042735" w:rsidP="001239F6">
      <w:pPr>
        <w:pStyle w:val="ListParagraph"/>
        <w:numPr>
          <w:ilvl w:val="0"/>
          <w:numId w:val="1"/>
        </w:numPr>
      </w:pPr>
      <w:r>
        <w:rPr>
          <w:b/>
        </w:rPr>
        <w:t xml:space="preserve">Medication </w:t>
      </w:r>
      <w:r w:rsidR="001239F6" w:rsidRPr="00EE13AB">
        <w:rPr>
          <w:b/>
        </w:rPr>
        <w:t>Disposal</w:t>
      </w:r>
      <w:r w:rsidR="001239F6">
        <w:t>- when the partici</w:t>
      </w:r>
      <w:r w:rsidR="00F278AC">
        <w:t>pant has been discharged from t</w:t>
      </w:r>
      <w:r w:rsidR="001239F6">
        <w:t>he program</w:t>
      </w:r>
      <w:r w:rsidR="00F278AC">
        <w:t xml:space="preserve"> and the medication was not transferred to the legal guardian or desig</w:t>
      </w:r>
      <w:r w:rsidR="00EE13AB">
        <w:t xml:space="preserve">nee </w:t>
      </w:r>
      <w:r w:rsidR="00F278AC">
        <w:t>within 30 days</w:t>
      </w:r>
      <w:r w:rsidR="00EE13AB">
        <w:t xml:space="preserve"> of the discharge date.  Documentation occurs when the supervisor or designee dispose of the abandoned medication.</w:t>
      </w:r>
    </w:p>
    <w:p w:rsidR="00886178" w:rsidRPr="00886178" w:rsidRDefault="007E04B8">
      <w:r>
        <w:t xml:space="preserve">File </w:t>
      </w:r>
      <w:r w:rsidR="00802026">
        <w:t>Medicat</w:t>
      </w:r>
      <w:r>
        <w:t xml:space="preserve">ion Transfer Logs </w:t>
      </w:r>
      <w:r w:rsidR="00802026">
        <w:t>with the participant Medic</w:t>
      </w:r>
      <w:r>
        <w:t>ation Record Log(s) until discharge and then file</w:t>
      </w:r>
      <w:r w:rsidR="00802026">
        <w:t xml:space="preserve"> in the participant record, in the medication section.</w:t>
      </w:r>
    </w:p>
    <w:tbl>
      <w:tblPr>
        <w:tblStyle w:val="TableGrid"/>
        <w:tblW w:w="0" w:type="auto"/>
        <w:tblLook w:val="04A0" w:firstRow="1" w:lastRow="0" w:firstColumn="1" w:lastColumn="0" w:noHBand="0" w:noVBand="1"/>
      </w:tblPr>
      <w:tblGrid>
        <w:gridCol w:w="937"/>
        <w:gridCol w:w="801"/>
        <w:gridCol w:w="1212"/>
        <w:gridCol w:w="1234"/>
        <w:gridCol w:w="909"/>
        <w:gridCol w:w="2089"/>
        <w:gridCol w:w="986"/>
        <w:gridCol w:w="999"/>
        <w:gridCol w:w="2811"/>
        <w:gridCol w:w="2638"/>
      </w:tblGrid>
      <w:tr w:rsidR="00042735" w:rsidTr="007E04B8">
        <w:trPr>
          <w:trHeight w:val="302"/>
        </w:trPr>
        <w:tc>
          <w:tcPr>
            <w:tcW w:w="4184" w:type="dxa"/>
            <w:gridSpan w:val="4"/>
            <w:tcBorders>
              <w:top w:val="single" w:sz="8" w:space="0" w:color="auto"/>
            </w:tcBorders>
            <w:vAlign w:val="center"/>
          </w:tcPr>
          <w:p w:rsidR="001239F6" w:rsidRDefault="00F278AC" w:rsidP="00096467">
            <w:pPr>
              <w:jc w:val="center"/>
            </w:pPr>
            <w:r>
              <w:t>Type of Transfer</w:t>
            </w:r>
            <w:r w:rsidR="00042735">
              <w:t xml:space="preserve"> </w:t>
            </w:r>
            <w:r w:rsidR="00510E19">
              <w:rPr>
                <w:sz w:val="16"/>
                <w:szCs w:val="16"/>
              </w:rPr>
              <w:t>(check one</w:t>
            </w:r>
            <w:r w:rsidR="00042735" w:rsidRPr="00042735">
              <w:rPr>
                <w:sz w:val="16"/>
                <w:szCs w:val="16"/>
              </w:rPr>
              <w:t>)</w:t>
            </w:r>
          </w:p>
        </w:tc>
        <w:tc>
          <w:tcPr>
            <w:tcW w:w="909" w:type="dxa"/>
            <w:vMerge w:val="restart"/>
            <w:tcBorders>
              <w:top w:val="single" w:sz="8" w:space="0" w:color="auto"/>
            </w:tcBorders>
            <w:vAlign w:val="center"/>
          </w:tcPr>
          <w:p w:rsidR="001239F6" w:rsidRDefault="001239F6" w:rsidP="00096467">
            <w:pPr>
              <w:jc w:val="center"/>
            </w:pPr>
            <w:r>
              <w:t>Date</w:t>
            </w:r>
          </w:p>
        </w:tc>
        <w:tc>
          <w:tcPr>
            <w:tcW w:w="2089" w:type="dxa"/>
            <w:vMerge w:val="restart"/>
            <w:tcBorders>
              <w:top w:val="single" w:sz="8" w:space="0" w:color="auto"/>
            </w:tcBorders>
            <w:vAlign w:val="center"/>
          </w:tcPr>
          <w:p w:rsidR="001239F6" w:rsidRDefault="001239F6" w:rsidP="00096467">
            <w:pPr>
              <w:jc w:val="center"/>
            </w:pPr>
            <w:r>
              <w:t>Medication Name</w:t>
            </w:r>
          </w:p>
        </w:tc>
        <w:tc>
          <w:tcPr>
            <w:tcW w:w="986" w:type="dxa"/>
            <w:vMerge w:val="restart"/>
            <w:tcBorders>
              <w:top w:val="single" w:sz="8" w:space="0" w:color="auto"/>
            </w:tcBorders>
            <w:vAlign w:val="center"/>
          </w:tcPr>
          <w:p w:rsidR="001239F6" w:rsidRDefault="001239F6" w:rsidP="00096467">
            <w:pPr>
              <w:jc w:val="center"/>
            </w:pPr>
            <w:r>
              <w:t>Strength</w:t>
            </w:r>
          </w:p>
        </w:tc>
        <w:tc>
          <w:tcPr>
            <w:tcW w:w="999" w:type="dxa"/>
            <w:vMerge w:val="restart"/>
            <w:tcBorders>
              <w:top w:val="single" w:sz="8" w:space="0" w:color="auto"/>
            </w:tcBorders>
            <w:vAlign w:val="center"/>
          </w:tcPr>
          <w:p w:rsidR="001239F6" w:rsidRDefault="001239F6" w:rsidP="00096467">
            <w:pPr>
              <w:jc w:val="center"/>
            </w:pPr>
            <w:r>
              <w:t>Count/</w:t>
            </w:r>
          </w:p>
          <w:p w:rsidR="001239F6" w:rsidRDefault="001239F6" w:rsidP="00096467">
            <w:pPr>
              <w:jc w:val="center"/>
            </w:pPr>
            <w:r>
              <w:t>Quantity</w:t>
            </w:r>
          </w:p>
        </w:tc>
        <w:tc>
          <w:tcPr>
            <w:tcW w:w="2811" w:type="dxa"/>
            <w:vMerge w:val="restart"/>
            <w:tcBorders>
              <w:top w:val="single" w:sz="8" w:space="0" w:color="auto"/>
            </w:tcBorders>
            <w:vAlign w:val="center"/>
          </w:tcPr>
          <w:p w:rsidR="001239F6" w:rsidRDefault="001239F6" w:rsidP="00EE13AB">
            <w:pPr>
              <w:jc w:val="center"/>
            </w:pPr>
            <w:r>
              <w:t>Legal Guardian</w:t>
            </w:r>
            <w:r w:rsidR="00EE13AB">
              <w:t>/Designee</w:t>
            </w:r>
            <w:r>
              <w:t xml:space="preserve"> Signature </w:t>
            </w:r>
          </w:p>
        </w:tc>
        <w:tc>
          <w:tcPr>
            <w:tcW w:w="2638" w:type="dxa"/>
            <w:vMerge w:val="restart"/>
            <w:vAlign w:val="center"/>
          </w:tcPr>
          <w:p w:rsidR="001239F6" w:rsidRDefault="001239F6" w:rsidP="00096467">
            <w:pPr>
              <w:jc w:val="center"/>
            </w:pPr>
            <w:r>
              <w:t>Staff Signature</w:t>
            </w:r>
          </w:p>
        </w:tc>
      </w:tr>
      <w:tr w:rsidR="00042735" w:rsidTr="007E04B8">
        <w:trPr>
          <w:trHeight w:val="302"/>
        </w:trPr>
        <w:tc>
          <w:tcPr>
            <w:tcW w:w="1738" w:type="dxa"/>
            <w:gridSpan w:val="2"/>
            <w:vAlign w:val="center"/>
          </w:tcPr>
          <w:p w:rsidR="001239F6" w:rsidRDefault="00042735" w:rsidP="001239F6">
            <w:pPr>
              <w:jc w:val="center"/>
            </w:pPr>
            <w:r w:rsidRPr="00042735">
              <w:rPr>
                <w:sz w:val="18"/>
                <w:szCs w:val="18"/>
              </w:rPr>
              <w:t>Participant</w:t>
            </w:r>
            <w:r w:rsidR="00F278AC" w:rsidRPr="00042735">
              <w:rPr>
                <w:sz w:val="18"/>
                <w:szCs w:val="18"/>
              </w:rPr>
              <w:t xml:space="preserve"> </w:t>
            </w:r>
            <w:r w:rsidR="00F278AC">
              <w:t>Offsite</w:t>
            </w:r>
          </w:p>
        </w:tc>
        <w:tc>
          <w:tcPr>
            <w:tcW w:w="1212" w:type="dxa"/>
            <w:vMerge w:val="restart"/>
            <w:vAlign w:val="center"/>
          </w:tcPr>
          <w:p w:rsidR="001239F6" w:rsidRDefault="00042735" w:rsidP="00042735">
            <w:pPr>
              <w:jc w:val="center"/>
            </w:pPr>
            <w:r>
              <w:t xml:space="preserve">Participant </w:t>
            </w:r>
            <w:r w:rsidR="001239F6">
              <w:t>Disposition</w:t>
            </w:r>
          </w:p>
        </w:tc>
        <w:tc>
          <w:tcPr>
            <w:tcW w:w="1234" w:type="dxa"/>
            <w:vMerge w:val="restart"/>
            <w:vAlign w:val="center"/>
          </w:tcPr>
          <w:p w:rsidR="001239F6" w:rsidRDefault="00042735" w:rsidP="00042735">
            <w:pPr>
              <w:jc w:val="center"/>
            </w:pPr>
            <w:r>
              <w:t xml:space="preserve">Medication </w:t>
            </w:r>
            <w:r w:rsidR="001239F6">
              <w:t>Disposal</w:t>
            </w:r>
          </w:p>
        </w:tc>
        <w:tc>
          <w:tcPr>
            <w:tcW w:w="909" w:type="dxa"/>
            <w:vMerge/>
            <w:vAlign w:val="center"/>
          </w:tcPr>
          <w:p w:rsidR="001239F6" w:rsidRDefault="001239F6" w:rsidP="00096467">
            <w:pPr>
              <w:jc w:val="center"/>
            </w:pPr>
          </w:p>
        </w:tc>
        <w:tc>
          <w:tcPr>
            <w:tcW w:w="2089" w:type="dxa"/>
            <w:vMerge/>
            <w:vAlign w:val="center"/>
          </w:tcPr>
          <w:p w:rsidR="001239F6" w:rsidRDefault="001239F6" w:rsidP="00096467">
            <w:pPr>
              <w:jc w:val="center"/>
            </w:pPr>
          </w:p>
        </w:tc>
        <w:tc>
          <w:tcPr>
            <w:tcW w:w="986" w:type="dxa"/>
            <w:vMerge/>
            <w:vAlign w:val="center"/>
          </w:tcPr>
          <w:p w:rsidR="001239F6" w:rsidRDefault="001239F6" w:rsidP="00096467">
            <w:pPr>
              <w:jc w:val="center"/>
            </w:pPr>
          </w:p>
        </w:tc>
        <w:tc>
          <w:tcPr>
            <w:tcW w:w="999" w:type="dxa"/>
            <w:vMerge/>
            <w:vAlign w:val="center"/>
          </w:tcPr>
          <w:p w:rsidR="001239F6" w:rsidRDefault="001239F6" w:rsidP="00096467">
            <w:pPr>
              <w:jc w:val="center"/>
            </w:pPr>
          </w:p>
        </w:tc>
        <w:tc>
          <w:tcPr>
            <w:tcW w:w="2811" w:type="dxa"/>
            <w:vMerge/>
            <w:vAlign w:val="center"/>
          </w:tcPr>
          <w:p w:rsidR="001239F6" w:rsidRDefault="001239F6" w:rsidP="00096467">
            <w:pPr>
              <w:jc w:val="center"/>
            </w:pPr>
          </w:p>
        </w:tc>
        <w:tc>
          <w:tcPr>
            <w:tcW w:w="2638" w:type="dxa"/>
            <w:vMerge/>
            <w:vAlign w:val="center"/>
          </w:tcPr>
          <w:p w:rsidR="001239F6" w:rsidRDefault="001239F6" w:rsidP="00096467">
            <w:pPr>
              <w:jc w:val="center"/>
            </w:pPr>
          </w:p>
        </w:tc>
      </w:tr>
      <w:tr w:rsidR="00042735" w:rsidTr="007E04B8">
        <w:trPr>
          <w:trHeight w:val="301"/>
        </w:trPr>
        <w:tc>
          <w:tcPr>
            <w:tcW w:w="937" w:type="dxa"/>
            <w:vAlign w:val="center"/>
          </w:tcPr>
          <w:p w:rsidR="001239F6" w:rsidRPr="00F278AC" w:rsidRDefault="001239F6" w:rsidP="001239F6">
            <w:pPr>
              <w:jc w:val="center"/>
              <w:rPr>
                <w:sz w:val="16"/>
                <w:szCs w:val="16"/>
              </w:rPr>
            </w:pPr>
            <w:r w:rsidRPr="00F278AC">
              <w:rPr>
                <w:sz w:val="16"/>
                <w:szCs w:val="16"/>
              </w:rPr>
              <w:t>Leave</w:t>
            </w:r>
          </w:p>
        </w:tc>
        <w:tc>
          <w:tcPr>
            <w:tcW w:w="801" w:type="dxa"/>
            <w:vAlign w:val="center"/>
          </w:tcPr>
          <w:p w:rsidR="001239F6" w:rsidRPr="00F278AC" w:rsidRDefault="001239F6" w:rsidP="001239F6">
            <w:pPr>
              <w:jc w:val="center"/>
              <w:rPr>
                <w:sz w:val="16"/>
                <w:szCs w:val="16"/>
              </w:rPr>
            </w:pPr>
            <w:r w:rsidRPr="00F278AC">
              <w:rPr>
                <w:sz w:val="16"/>
                <w:szCs w:val="16"/>
              </w:rPr>
              <w:t>Return</w:t>
            </w:r>
          </w:p>
        </w:tc>
        <w:tc>
          <w:tcPr>
            <w:tcW w:w="1212" w:type="dxa"/>
            <w:vMerge/>
          </w:tcPr>
          <w:p w:rsidR="001239F6" w:rsidRDefault="001239F6"/>
        </w:tc>
        <w:tc>
          <w:tcPr>
            <w:tcW w:w="1234" w:type="dxa"/>
            <w:vMerge/>
          </w:tcPr>
          <w:p w:rsidR="001239F6" w:rsidRDefault="001239F6"/>
        </w:tc>
        <w:tc>
          <w:tcPr>
            <w:tcW w:w="909" w:type="dxa"/>
            <w:vMerge/>
            <w:vAlign w:val="center"/>
          </w:tcPr>
          <w:p w:rsidR="001239F6" w:rsidRDefault="001239F6" w:rsidP="00096467">
            <w:pPr>
              <w:jc w:val="center"/>
            </w:pPr>
          </w:p>
        </w:tc>
        <w:tc>
          <w:tcPr>
            <w:tcW w:w="2089" w:type="dxa"/>
            <w:vMerge/>
            <w:vAlign w:val="center"/>
          </w:tcPr>
          <w:p w:rsidR="001239F6" w:rsidRDefault="001239F6" w:rsidP="00096467">
            <w:pPr>
              <w:jc w:val="center"/>
            </w:pPr>
          </w:p>
        </w:tc>
        <w:tc>
          <w:tcPr>
            <w:tcW w:w="986" w:type="dxa"/>
            <w:vMerge/>
            <w:vAlign w:val="center"/>
          </w:tcPr>
          <w:p w:rsidR="001239F6" w:rsidRDefault="001239F6" w:rsidP="00096467">
            <w:pPr>
              <w:jc w:val="center"/>
            </w:pPr>
          </w:p>
        </w:tc>
        <w:tc>
          <w:tcPr>
            <w:tcW w:w="999" w:type="dxa"/>
            <w:vMerge/>
            <w:vAlign w:val="center"/>
          </w:tcPr>
          <w:p w:rsidR="001239F6" w:rsidRDefault="001239F6" w:rsidP="00096467">
            <w:pPr>
              <w:jc w:val="center"/>
            </w:pPr>
          </w:p>
        </w:tc>
        <w:tc>
          <w:tcPr>
            <w:tcW w:w="2811" w:type="dxa"/>
            <w:vMerge/>
            <w:vAlign w:val="center"/>
          </w:tcPr>
          <w:p w:rsidR="001239F6" w:rsidRDefault="001239F6" w:rsidP="00096467">
            <w:pPr>
              <w:jc w:val="center"/>
            </w:pPr>
          </w:p>
        </w:tc>
        <w:tc>
          <w:tcPr>
            <w:tcW w:w="2638" w:type="dxa"/>
            <w:vMerge/>
            <w:vAlign w:val="center"/>
          </w:tcPr>
          <w:p w:rsidR="001239F6" w:rsidRDefault="001239F6" w:rsidP="00096467">
            <w:pPr>
              <w:jc w:val="cente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r w:rsidR="00042735" w:rsidRPr="00096467" w:rsidTr="007E04B8">
        <w:tc>
          <w:tcPr>
            <w:tcW w:w="937" w:type="dxa"/>
          </w:tcPr>
          <w:p w:rsidR="001239F6" w:rsidRPr="00096467" w:rsidRDefault="001239F6">
            <w:pPr>
              <w:rPr>
                <w:sz w:val="24"/>
                <w:szCs w:val="24"/>
              </w:rPr>
            </w:pPr>
          </w:p>
        </w:tc>
        <w:tc>
          <w:tcPr>
            <w:tcW w:w="801" w:type="dxa"/>
          </w:tcPr>
          <w:p w:rsidR="001239F6" w:rsidRPr="00096467" w:rsidRDefault="001239F6">
            <w:pPr>
              <w:rPr>
                <w:sz w:val="24"/>
                <w:szCs w:val="24"/>
              </w:rPr>
            </w:pPr>
          </w:p>
        </w:tc>
        <w:tc>
          <w:tcPr>
            <w:tcW w:w="1212" w:type="dxa"/>
          </w:tcPr>
          <w:p w:rsidR="001239F6" w:rsidRPr="00096467" w:rsidRDefault="001239F6">
            <w:pPr>
              <w:rPr>
                <w:sz w:val="24"/>
                <w:szCs w:val="24"/>
              </w:rPr>
            </w:pPr>
          </w:p>
        </w:tc>
        <w:tc>
          <w:tcPr>
            <w:tcW w:w="1234" w:type="dxa"/>
          </w:tcPr>
          <w:p w:rsidR="001239F6" w:rsidRPr="00096467" w:rsidRDefault="001239F6">
            <w:pPr>
              <w:rPr>
                <w:sz w:val="24"/>
                <w:szCs w:val="24"/>
              </w:rPr>
            </w:pPr>
          </w:p>
        </w:tc>
        <w:tc>
          <w:tcPr>
            <w:tcW w:w="909" w:type="dxa"/>
          </w:tcPr>
          <w:p w:rsidR="001239F6" w:rsidRPr="00096467" w:rsidRDefault="001239F6">
            <w:pPr>
              <w:rPr>
                <w:sz w:val="24"/>
                <w:szCs w:val="24"/>
              </w:rPr>
            </w:pPr>
          </w:p>
        </w:tc>
        <w:tc>
          <w:tcPr>
            <w:tcW w:w="2089" w:type="dxa"/>
          </w:tcPr>
          <w:p w:rsidR="001239F6" w:rsidRPr="00096467" w:rsidRDefault="001239F6">
            <w:pPr>
              <w:rPr>
                <w:sz w:val="24"/>
                <w:szCs w:val="24"/>
              </w:rPr>
            </w:pPr>
          </w:p>
        </w:tc>
        <w:tc>
          <w:tcPr>
            <w:tcW w:w="986" w:type="dxa"/>
          </w:tcPr>
          <w:p w:rsidR="001239F6" w:rsidRPr="00096467" w:rsidRDefault="001239F6">
            <w:pPr>
              <w:rPr>
                <w:sz w:val="24"/>
                <w:szCs w:val="24"/>
              </w:rPr>
            </w:pPr>
          </w:p>
        </w:tc>
        <w:tc>
          <w:tcPr>
            <w:tcW w:w="999" w:type="dxa"/>
          </w:tcPr>
          <w:p w:rsidR="001239F6" w:rsidRPr="00096467" w:rsidRDefault="001239F6">
            <w:pPr>
              <w:rPr>
                <w:sz w:val="24"/>
                <w:szCs w:val="24"/>
              </w:rPr>
            </w:pPr>
          </w:p>
        </w:tc>
        <w:tc>
          <w:tcPr>
            <w:tcW w:w="2811" w:type="dxa"/>
          </w:tcPr>
          <w:p w:rsidR="001239F6" w:rsidRPr="00096467" w:rsidRDefault="001239F6">
            <w:pPr>
              <w:rPr>
                <w:sz w:val="24"/>
                <w:szCs w:val="24"/>
              </w:rPr>
            </w:pPr>
          </w:p>
        </w:tc>
        <w:tc>
          <w:tcPr>
            <w:tcW w:w="2638" w:type="dxa"/>
          </w:tcPr>
          <w:p w:rsidR="001239F6" w:rsidRPr="00096467" w:rsidRDefault="001239F6">
            <w:pPr>
              <w:rPr>
                <w:sz w:val="24"/>
                <w:szCs w:val="24"/>
              </w:rPr>
            </w:pPr>
          </w:p>
        </w:tc>
      </w:tr>
    </w:tbl>
    <w:p w:rsidR="00510E19" w:rsidRDefault="00510E19" w:rsidP="00510E19">
      <w:pPr>
        <w:spacing w:after="0"/>
      </w:pPr>
      <w:r>
        <w:t>Original Participants file</w:t>
      </w:r>
    </w:p>
    <w:p w:rsidR="007E04B8" w:rsidRDefault="00510E19" w:rsidP="007E04B8">
      <w:pPr>
        <w:spacing w:after="0"/>
      </w:pPr>
      <w:r>
        <w:t>Copy to the parent/guardian upon request</w:t>
      </w:r>
    </w:p>
    <w:p w:rsidR="007E04B8" w:rsidRDefault="007E04B8" w:rsidP="007E04B8">
      <w:pPr>
        <w:spacing w:after="0"/>
      </w:pPr>
    </w:p>
    <w:p w:rsidR="007E04B8" w:rsidRDefault="007E04B8" w:rsidP="007E04B8">
      <w:pPr>
        <w:spacing w:after="0"/>
      </w:pPr>
    </w:p>
    <w:p w:rsidR="007E04B8" w:rsidRDefault="007E04B8" w:rsidP="007E04B8">
      <w:pPr>
        <w:spacing w:after="0"/>
      </w:pPr>
    </w:p>
    <w:p w:rsidR="007E04B8" w:rsidRPr="00340432" w:rsidRDefault="00340432" w:rsidP="007E04B8">
      <w:pPr>
        <w:spacing w:after="0"/>
        <w:rPr>
          <w:sz w:val="18"/>
          <w:szCs w:val="18"/>
        </w:rPr>
      </w:pPr>
      <w:r>
        <w:rPr>
          <w:sz w:val="18"/>
          <w:szCs w:val="18"/>
        </w:rPr>
        <w:t>Rev. 7/06, 2/08, 7/12                                                                                                                                                                                                                                                                                     F-PR-1137</w:t>
      </w:r>
    </w:p>
    <w:sectPr w:rsidR="007E04B8" w:rsidRPr="00340432" w:rsidSect="00802026">
      <w:pgSz w:w="15840" w:h="12240" w:orient="landscape"/>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19" w:rsidRDefault="00510E19" w:rsidP="00510E19">
      <w:pPr>
        <w:spacing w:after="0" w:line="240" w:lineRule="auto"/>
      </w:pPr>
      <w:r>
        <w:separator/>
      </w:r>
    </w:p>
  </w:endnote>
  <w:endnote w:type="continuationSeparator" w:id="0">
    <w:p w:rsidR="00510E19" w:rsidRDefault="00510E19" w:rsidP="0051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19" w:rsidRDefault="00510E19" w:rsidP="00510E19">
      <w:pPr>
        <w:spacing w:after="0" w:line="240" w:lineRule="auto"/>
      </w:pPr>
      <w:r>
        <w:separator/>
      </w:r>
    </w:p>
  </w:footnote>
  <w:footnote w:type="continuationSeparator" w:id="0">
    <w:p w:rsidR="00510E19" w:rsidRDefault="00510E19" w:rsidP="00510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5365"/>
    <w:multiLevelType w:val="hybridMultilevel"/>
    <w:tmpl w:val="157E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04"/>
    <w:rsid w:val="00007704"/>
    <w:rsid w:val="00042735"/>
    <w:rsid w:val="00096467"/>
    <w:rsid w:val="001239F6"/>
    <w:rsid w:val="00204BD8"/>
    <w:rsid w:val="00340432"/>
    <w:rsid w:val="00353B36"/>
    <w:rsid w:val="004D20C1"/>
    <w:rsid w:val="00510E19"/>
    <w:rsid w:val="007E04B8"/>
    <w:rsid w:val="00802026"/>
    <w:rsid w:val="00886178"/>
    <w:rsid w:val="00C75888"/>
    <w:rsid w:val="00E54503"/>
    <w:rsid w:val="00EE13AB"/>
    <w:rsid w:val="00F278AC"/>
    <w:rsid w:val="00F841E1"/>
    <w:rsid w:val="00FD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39F6"/>
    <w:pPr>
      <w:ind w:left="720"/>
      <w:contextualSpacing/>
    </w:pPr>
  </w:style>
  <w:style w:type="paragraph" w:styleId="BalloonText">
    <w:name w:val="Balloon Text"/>
    <w:basedOn w:val="Normal"/>
    <w:link w:val="BalloonTextChar"/>
    <w:uiPriority w:val="99"/>
    <w:semiHidden/>
    <w:unhideWhenUsed/>
    <w:rsid w:val="0004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735"/>
    <w:rPr>
      <w:rFonts w:ascii="Tahoma" w:hAnsi="Tahoma" w:cs="Tahoma"/>
      <w:sz w:val="16"/>
      <w:szCs w:val="16"/>
    </w:rPr>
  </w:style>
  <w:style w:type="paragraph" w:styleId="Header">
    <w:name w:val="header"/>
    <w:basedOn w:val="Normal"/>
    <w:link w:val="HeaderChar"/>
    <w:uiPriority w:val="99"/>
    <w:unhideWhenUsed/>
    <w:rsid w:val="00510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19"/>
  </w:style>
  <w:style w:type="paragraph" w:styleId="Footer">
    <w:name w:val="footer"/>
    <w:basedOn w:val="Normal"/>
    <w:link w:val="FooterChar"/>
    <w:uiPriority w:val="99"/>
    <w:unhideWhenUsed/>
    <w:rsid w:val="0051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39F6"/>
    <w:pPr>
      <w:ind w:left="720"/>
      <w:contextualSpacing/>
    </w:pPr>
  </w:style>
  <w:style w:type="paragraph" w:styleId="BalloonText">
    <w:name w:val="Balloon Text"/>
    <w:basedOn w:val="Normal"/>
    <w:link w:val="BalloonTextChar"/>
    <w:uiPriority w:val="99"/>
    <w:semiHidden/>
    <w:unhideWhenUsed/>
    <w:rsid w:val="0004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735"/>
    <w:rPr>
      <w:rFonts w:ascii="Tahoma" w:hAnsi="Tahoma" w:cs="Tahoma"/>
      <w:sz w:val="16"/>
      <w:szCs w:val="16"/>
    </w:rPr>
  </w:style>
  <w:style w:type="paragraph" w:styleId="Header">
    <w:name w:val="header"/>
    <w:basedOn w:val="Normal"/>
    <w:link w:val="HeaderChar"/>
    <w:uiPriority w:val="99"/>
    <w:unhideWhenUsed/>
    <w:rsid w:val="00510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19"/>
  </w:style>
  <w:style w:type="paragraph" w:styleId="Footer">
    <w:name w:val="footer"/>
    <w:basedOn w:val="Normal"/>
    <w:link w:val="FooterChar"/>
    <w:uiPriority w:val="99"/>
    <w:unhideWhenUsed/>
    <w:rsid w:val="0051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Family and Behavioral Health Services Inc.</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McCray</dc:creator>
  <cp:keywords/>
  <dc:description/>
  <cp:lastModifiedBy>Sam Clark</cp:lastModifiedBy>
  <cp:revision>2</cp:revision>
  <cp:lastPrinted>2012-07-26T22:11:00Z</cp:lastPrinted>
  <dcterms:created xsi:type="dcterms:W3CDTF">2012-08-01T18:02:00Z</dcterms:created>
  <dcterms:modified xsi:type="dcterms:W3CDTF">2012-08-01T18:02:00Z</dcterms:modified>
</cp:coreProperties>
</file>